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0822" w:rsidRPr="008B07A2" w:rsidRDefault="00740822" w:rsidP="008B07A2">
      <w:pPr>
        <w:autoSpaceDE w:val="0"/>
        <w:autoSpaceDN w:val="0"/>
        <w:adjustRightInd w:val="0"/>
        <w:spacing w:after="0" w:line="240" w:lineRule="auto"/>
        <w:rPr>
          <w:rFonts w:ascii="Arial" w:hAnsi="Arial" w:cs="Arial"/>
          <w:color w:val="000000"/>
          <w:sz w:val="24"/>
          <w:szCs w:val="24"/>
        </w:rPr>
      </w:pPr>
    </w:p>
    <w:p w:rsidR="00740822" w:rsidRPr="008B07A2" w:rsidRDefault="00740822" w:rsidP="008B07A2">
      <w:pPr>
        <w:autoSpaceDE w:val="0"/>
        <w:autoSpaceDN w:val="0"/>
        <w:adjustRightInd w:val="0"/>
        <w:spacing w:after="0" w:line="240" w:lineRule="auto"/>
        <w:ind w:left="6120"/>
        <w:jc w:val="right"/>
        <w:rPr>
          <w:rFonts w:ascii="Times New Roman" w:hAnsi="Times New Roman"/>
          <w:color w:val="000000"/>
          <w:sz w:val="24"/>
          <w:szCs w:val="24"/>
        </w:rPr>
      </w:pPr>
      <w:r w:rsidRPr="008B07A2">
        <w:rPr>
          <w:rFonts w:ascii="Times New Roman" w:hAnsi="Times New Roman"/>
          <w:sz w:val="24"/>
          <w:szCs w:val="24"/>
        </w:rPr>
        <w:t xml:space="preserve"> </w:t>
      </w:r>
      <w:r w:rsidRPr="008B07A2">
        <w:rPr>
          <w:rFonts w:ascii="Times New Roman" w:hAnsi="Times New Roman"/>
          <w:color w:val="000000"/>
          <w:sz w:val="24"/>
          <w:szCs w:val="24"/>
        </w:rPr>
        <w:t xml:space="preserve">Muudetud </w:t>
      </w:r>
    </w:p>
    <w:p w:rsidR="00740822" w:rsidRPr="008B07A2" w:rsidRDefault="00740822" w:rsidP="008B07A2">
      <w:pPr>
        <w:autoSpaceDE w:val="0"/>
        <w:autoSpaceDN w:val="0"/>
        <w:adjustRightInd w:val="0"/>
        <w:spacing w:after="0" w:line="240" w:lineRule="auto"/>
        <w:ind w:left="6120"/>
        <w:jc w:val="right"/>
        <w:rPr>
          <w:rFonts w:ascii="Times New Roman" w:hAnsi="Times New Roman"/>
          <w:color w:val="000000"/>
          <w:sz w:val="24"/>
          <w:szCs w:val="24"/>
          <w:lang w:val="en-GB"/>
        </w:rPr>
      </w:pPr>
      <w:r>
        <w:rPr>
          <w:rFonts w:ascii="Times New Roman" w:hAnsi="Times New Roman"/>
          <w:color w:val="000000"/>
          <w:sz w:val="24"/>
          <w:szCs w:val="24"/>
          <w:lang w:val="et-EE"/>
        </w:rPr>
        <w:t>20</w:t>
      </w:r>
      <w:r w:rsidRPr="00AB317F">
        <w:rPr>
          <w:rFonts w:ascii="Times New Roman" w:hAnsi="Times New Roman"/>
          <w:color w:val="000000"/>
          <w:sz w:val="24"/>
          <w:szCs w:val="24"/>
          <w:lang w:val="en-GB"/>
        </w:rPr>
        <w:t>.</w:t>
      </w:r>
      <w:r>
        <w:rPr>
          <w:rFonts w:ascii="Times New Roman" w:hAnsi="Times New Roman"/>
          <w:color w:val="000000"/>
          <w:sz w:val="24"/>
          <w:szCs w:val="24"/>
          <w:lang w:val="en-GB"/>
        </w:rPr>
        <w:t>12</w:t>
      </w:r>
      <w:r w:rsidRPr="00AB317F">
        <w:rPr>
          <w:rFonts w:ascii="Times New Roman" w:hAnsi="Times New Roman"/>
          <w:color w:val="000000"/>
          <w:sz w:val="24"/>
          <w:szCs w:val="24"/>
          <w:lang w:val="en-GB"/>
        </w:rPr>
        <w:t>.2013. a</w:t>
      </w:r>
      <w:r w:rsidRPr="008B07A2">
        <w:rPr>
          <w:rFonts w:ascii="Times New Roman" w:hAnsi="Times New Roman"/>
          <w:color w:val="000000"/>
          <w:sz w:val="24"/>
          <w:szCs w:val="24"/>
          <w:lang w:val="en-GB"/>
        </w:rPr>
        <w:t xml:space="preserve"> määrus</w:t>
      </w:r>
      <w:r w:rsidRPr="008B07A2">
        <w:rPr>
          <w:rFonts w:ascii="Times New Roman" w:hAnsi="Times New Roman"/>
          <w:color w:val="000000"/>
          <w:sz w:val="24"/>
          <w:szCs w:val="24"/>
        </w:rPr>
        <w:t>е</w:t>
      </w:r>
      <w:r w:rsidRPr="00AB317F">
        <w:rPr>
          <w:rFonts w:ascii="Times New Roman" w:hAnsi="Times New Roman"/>
          <w:color w:val="000000"/>
          <w:sz w:val="24"/>
          <w:szCs w:val="24"/>
          <w:lang w:val="en-GB"/>
        </w:rPr>
        <w:t>ga nr __</w:t>
      </w:r>
    </w:p>
    <w:p w:rsidR="00740822" w:rsidRPr="00AB317F" w:rsidRDefault="00740822" w:rsidP="008B07A2">
      <w:pPr>
        <w:spacing w:before="100" w:beforeAutospacing="1" w:after="100" w:afterAutospacing="1" w:line="240" w:lineRule="auto"/>
        <w:outlineLvl w:val="0"/>
        <w:rPr>
          <w:rFonts w:ascii="Times New Roman" w:hAnsi="Times New Roman"/>
          <w:b/>
          <w:bCs/>
          <w:kern w:val="36"/>
          <w:sz w:val="24"/>
          <w:szCs w:val="24"/>
          <w:lang w:val="et-EE" w:eastAsia="ru-RU"/>
        </w:rPr>
      </w:pPr>
      <w:r w:rsidRPr="00AB317F">
        <w:rPr>
          <w:rFonts w:ascii="Times New Roman" w:hAnsi="Times New Roman"/>
          <w:color w:val="000000"/>
          <w:sz w:val="24"/>
          <w:szCs w:val="24"/>
          <w:lang w:val="en-GB"/>
        </w:rPr>
        <w:t xml:space="preserve">Narva </w:t>
      </w:r>
      <w:r w:rsidRPr="00AB317F">
        <w:rPr>
          <w:rFonts w:ascii="Times New Roman" w:hAnsi="Times New Roman"/>
          <w:color w:val="000000"/>
          <w:sz w:val="24"/>
          <w:szCs w:val="24"/>
          <w:lang w:val="et-EE"/>
        </w:rPr>
        <w:tab/>
      </w:r>
      <w:r w:rsidRPr="00AB317F">
        <w:rPr>
          <w:rFonts w:ascii="Times New Roman" w:hAnsi="Times New Roman"/>
          <w:color w:val="000000"/>
          <w:sz w:val="24"/>
          <w:szCs w:val="24"/>
          <w:lang w:val="et-EE"/>
        </w:rPr>
        <w:tab/>
      </w:r>
      <w:r w:rsidRPr="00AB317F">
        <w:rPr>
          <w:rFonts w:ascii="Times New Roman" w:hAnsi="Times New Roman"/>
          <w:color w:val="000000"/>
          <w:sz w:val="24"/>
          <w:szCs w:val="24"/>
          <w:lang w:val="et-EE"/>
        </w:rPr>
        <w:tab/>
      </w:r>
      <w:r w:rsidRPr="00AB317F">
        <w:rPr>
          <w:rFonts w:ascii="Times New Roman" w:hAnsi="Times New Roman"/>
          <w:color w:val="000000"/>
          <w:sz w:val="24"/>
          <w:szCs w:val="24"/>
          <w:lang w:val="et-EE"/>
        </w:rPr>
        <w:tab/>
      </w:r>
      <w:r w:rsidRPr="00AB317F">
        <w:rPr>
          <w:rFonts w:ascii="Times New Roman" w:hAnsi="Times New Roman"/>
          <w:color w:val="000000"/>
          <w:sz w:val="24"/>
          <w:szCs w:val="24"/>
          <w:lang w:val="et-EE"/>
        </w:rPr>
        <w:tab/>
      </w:r>
      <w:r w:rsidRPr="00AB317F">
        <w:rPr>
          <w:rFonts w:ascii="Times New Roman" w:hAnsi="Times New Roman"/>
          <w:color w:val="000000"/>
          <w:sz w:val="24"/>
          <w:szCs w:val="24"/>
          <w:lang w:val="et-EE"/>
        </w:rPr>
        <w:tab/>
      </w:r>
      <w:r w:rsidRPr="00AB317F">
        <w:rPr>
          <w:rFonts w:ascii="Times New Roman" w:hAnsi="Times New Roman"/>
          <w:color w:val="000000"/>
          <w:sz w:val="24"/>
          <w:szCs w:val="24"/>
          <w:lang w:val="et-EE"/>
        </w:rPr>
        <w:tab/>
      </w:r>
      <w:r w:rsidRPr="00AB317F">
        <w:rPr>
          <w:rFonts w:ascii="Times New Roman" w:hAnsi="Times New Roman"/>
          <w:color w:val="000000"/>
          <w:sz w:val="24"/>
          <w:szCs w:val="24"/>
          <w:lang w:val="et-EE"/>
        </w:rPr>
        <w:tab/>
      </w:r>
      <w:r w:rsidRPr="00AB317F">
        <w:rPr>
          <w:rFonts w:ascii="Times New Roman" w:hAnsi="Times New Roman"/>
          <w:color w:val="000000"/>
          <w:sz w:val="24"/>
          <w:szCs w:val="24"/>
          <w:lang w:val="et-EE"/>
        </w:rPr>
        <w:tab/>
        <w:t xml:space="preserve">               </w:t>
      </w:r>
      <w:r w:rsidRPr="00AB317F">
        <w:rPr>
          <w:rFonts w:ascii="Times New Roman" w:hAnsi="Times New Roman"/>
          <w:sz w:val="24"/>
          <w:szCs w:val="24"/>
          <w:lang w:val="et-EE" w:eastAsia="ru-RU"/>
        </w:rPr>
        <w:t xml:space="preserve">27.05.2009. </w:t>
      </w:r>
      <w:r w:rsidRPr="00AB317F">
        <w:rPr>
          <w:rFonts w:ascii="Times New Roman" w:hAnsi="Times New Roman"/>
          <w:color w:val="000000"/>
          <w:sz w:val="24"/>
          <w:szCs w:val="24"/>
          <w:lang w:val="en-GB"/>
        </w:rPr>
        <w:t xml:space="preserve">a </w:t>
      </w:r>
      <w:r w:rsidRPr="00AB317F">
        <w:rPr>
          <w:rFonts w:ascii="Times New Roman" w:hAnsi="Times New Roman"/>
          <w:bCs/>
          <w:color w:val="000000"/>
          <w:sz w:val="24"/>
          <w:szCs w:val="24"/>
          <w:lang w:val="en-GB"/>
        </w:rPr>
        <w:t>nr</w:t>
      </w:r>
      <w:r w:rsidRPr="00AB317F">
        <w:rPr>
          <w:rFonts w:ascii="Times New Roman" w:hAnsi="Times New Roman"/>
          <w:b/>
          <w:bCs/>
          <w:color w:val="000000"/>
          <w:sz w:val="24"/>
          <w:szCs w:val="24"/>
          <w:lang w:val="en-GB"/>
        </w:rPr>
        <w:t xml:space="preserve"> </w:t>
      </w:r>
      <w:r w:rsidRPr="00AB317F">
        <w:rPr>
          <w:rFonts w:ascii="Times New Roman" w:hAnsi="Times New Roman"/>
          <w:sz w:val="24"/>
          <w:szCs w:val="24"/>
          <w:lang w:val="et-EE" w:eastAsia="ru-RU"/>
        </w:rPr>
        <w:t>572</w:t>
      </w:r>
    </w:p>
    <w:p w:rsidR="00740822" w:rsidRPr="00D027DF" w:rsidRDefault="00740822" w:rsidP="00D027DF">
      <w:pPr>
        <w:spacing w:before="100" w:beforeAutospacing="1" w:after="100" w:afterAutospacing="1" w:line="240" w:lineRule="auto"/>
        <w:outlineLvl w:val="0"/>
        <w:rPr>
          <w:rFonts w:ascii="Times New Roman" w:hAnsi="Times New Roman"/>
          <w:b/>
          <w:bCs/>
          <w:kern w:val="36"/>
          <w:sz w:val="24"/>
          <w:szCs w:val="24"/>
          <w:lang w:val="et-EE" w:eastAsia="ru-RU"/>
        </w:rPr>
      </w:pPr>
      <w:r w:rsidRPr="00D027DF">
        <w:rPr>
          <w:rFonts w:ascii="Times New Roman" w:hAnsi="Times New Roman"/>
          <w:b/>
          <w:bCs/>
          <w:kern w:val="36"/>
          <w:sz w:val="24"/>
          <w:szCs w:val="24"/>
          <w:lang w:val="et-EE" w:eastAsia="ru-RU"/>
        </w:rPr>
        <w:t>Narva linna munitsipaalhuvikoolide pedagoogide atesteerimise tingimused ja kord</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Määrus kehtestatakse kohaliku omavalitsuse korralduse seaduse § 30 lõike 1 punkti 3 alusel</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b/>
          <w:bCs/>
          <w:sz w:val="24"/>
          <w:szCs w:val="24"/>
          <w:lang w:val="et-EE" w:eastAsia="ru-RU"/>
        </w:rPr>
        <w:t>§ 1. Reguleerimisala</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 xml:space="preserve">Käesoleva määrusega sätestatakse atesteerimise tingimused ja kord töötavatele pedagoogidele, kelle tööülesannete hulka kuulub vahetu õppe- ja kasvatustöö läbiviimine õpetaja, treeneri, treener-õpetaja või muu pedagoogina (edaspidi </w:t>
      </w:r>
      <w:r w:rsidRPr="00D027DF">
        <w:rPr>
          <w:rFonts w:ascii="Times New Roman" w:hAnsi="Times New Roman"/>
          <w:i/>
          <w:iCs/>
          <w:sz w:val="24"/>
          <w:szCs w:val="24"/>
          <w:lang w:val="et-EE" w:eastAsia="ru-RU"/>
        </w:rPr>
        <w:t>atesteeritav</w:t>
      </w:r>
      <w:r w:rsidRPr="00D027DF">
        <w:rPr>
          <w:rFonts w:ascii="Times New Roman" w:hAnsi="Times New Roman"/>
          <w:sz w:val="24"/>
          <w:szCs w:val="24"/>
          <w:lang w:val="et-EE" w:eastAsia="ru-RU"/>
        </w:rPr>
        <w:t xml:space="preserve">) Narva linna munitsipaalhuvikoolides (edaspidi </w:t>
      </w:r>
      <w:r w:rsidRPr="00D027DF">
        <w:rPr>
          <w:rFonts w:ascii="Times New Roman" w:hAnsi="Times New Roman"/>
          <w:i/>
          <w:iCs/>
          <w:sz w:val="24"/>
          <w:szCs w:val="24"/>
          <w:lang w:val="et-EE" w:eastAsia="ru-RU"/>
        </w:rPr>
        <w:t>huvikool</w:t>
      </w:r>
      <w:r w:rsidRPr="00D027DF">
        <w:rPr>
          <w:rFonts w:ascii="Times New Roman" w:hAnsi="Times New Roman"/>
          <w:sz w:val="24"/>
          <w:szCs w:val="24"/>
          <w:lang w:val="et-EE" w:eastAsia="ru-RU"/>
        </w:rPr>
        <w:t>).</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b/>
          <w:bCs/>
          <w:sz w:val="24"/>
          <w:szCs w:val="24"/>
          <w:lang w:val="et-EE" w:eastAsia="ru-RU"/>
        </w:rPr>
        <w:t>§ 2. Atesteerimise eesmärk</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Atesteerimise eesmärk on toetada huvikoolide pedagoogide arengut ja karjäärivõimalusi, hinnates perioodiliselt pedagoogi enese- ja välishindamise kaudu tema töö tulemuslikkust ja vastavust ametijärgule esitatavatele nõuetele.</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b/>
          <w:bCs/>
          <w:sz w:val="24"/>
          <w:szCs w:val="24"/>
          <w:lang w:val="et-EE" w:eastAsia="ru-RU"/>
        </w:rPr>
        <w:t>§ 3. Atesteerimisel omistatavad ametijärgud</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Atesteeritavale, kes vastab Narva linna kohaliku omavalitsuse organite õigusaktidega sätestatud pedagoogide kvalifikatsiooninõuetele, omistatakse noorempedagoogi, pedagoogi, vanempedagoogi või pedagoog-metoodiku ametijärk.</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(2) Atesteeritavale omistatakse üks ametijärk, mis kehtib kõikides Narva sama valdkonna huvikoolides.</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b/>
          <w:bCs/>
          <w:sz w:val="24"/>
          <w:szCs w:val="24"/>
          <w:lang w:val="et-EE" w:eastAsia="ru-RU"/>
        </w:rPr>
        <w:t>§ 4. Atesteerimise aluseks olevad nõuded</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Atesteerimisel hinnatakse, kas atesteeritav on täitnud järgmisi nõudeid:</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vastab Narva linna kohaliku omavalitsuse organite õigusaktidega sätestatud pedagoogide kvalifikatsiooninõuetele;</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2) on töötanud tulemuslikult, mida hinnatakse käesoleva määruse § 19 lõike 2 punkti 2 kohaselt koostatud atesteeritava töö analüüsi ning käesoleva määruse § 19 lõike 2 punkti 3 kohaselt koostatud huvikooli sisekontrolli eest vastutava isiku kirjaliku hinnangu põhjal;</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3) on viimase viie aasta jooksul läbinud vähemalt 160 tunni ulatuses aine- või pedagoogika- või ametialaseid kursusi või juhtimiskursusi, millest 80 tundi võib moodustada iseseisev enesetäiendamine, mida tõendab huvikooli juht, või õppinud kraadiõppes hariduse valdkonnas;</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4) on omandanud teadus- või kutsekraadi hariduse valdkonnas;</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5) on juhendanud õpetajakoolituse raames noorempedagooge huvikooli juhi käskkirja alusel;</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 xml:space="preserve">6) on osalenud huvikooli arendustegevuses, mida tõendab huvikooli juht; </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7) on koostanud (autor või kaasautor) või retsenseerinud pedagoogilist uurimistööd;</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8) on olnud lektoriks täienduskoolituse läbiviimisel vanempedagoogiks atesteerimise puhul 40 ning pedagoog-metoodikuks atesteerimise puhul 60 tunni ulatuses, mida tõendab vastava koolitusloa omav organisatsioon;</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9) on korraldanud huvikooli tööplaaniga kavandatud õpilasüritusi, -võistlusi või -näitusi;</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10) on juhendanud huvikooli tööplaaniga kavandatud õpilasvõistlustel ja -näitustel esinenud õpilasi;</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11) on välja töötanud või retsenseerinud avaldatud õppematerjale;</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12) on esinenud haridusüritustel, konverentsidel või ajakirjanduses pedagoogilistel või erialastel teemadel;</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13) on osalenud aine-, kutse- või pedagoogiliste ühenduste või töörühmade juhtimises.</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b/>
          <w:bCs/>
          <w:sz w:val="24"/>
          <w:szCs w:val="24"/>
          <w:lang w:val="et-EE" w:eastAsia="ru-RU"/>
        </w:rPr>
        <w:t>§ 5. Noorempedagoogi ametijärgu omistamise tingimused</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Noorempedagoogi ametijärk omistatakse atesteeritavale vastava taotluse alusel, kes vastab käesoleva määruse § 4 punktis 1 nimetatud nõudele.</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 xml:space="preserve">(2) </w:t>
      </w:r>
      <w:r w:rsidRPr="004F4D14">
        <w:rPr>
          <w:rFonts w:ascii="Times New Roman" w:hAnsi="Times New Roman"/>
          <w:sz w:val="24"/>
          <w:szCs w:val="24"/>
          <w:lang w:val="et-EE" w:eastAsia="ru-RU"/>
        </w:rPr>
        <w:t>Treeneri või treener-õpetaja puhul omistatakse noorempedagoogi ametijärk atesteeritavale vastava taotluse alusel, kes vastab käesoleva määruse § 4 punktis 1 nimetatud nõudele ja omab vähemalt II kategooria või Eesti kvalifikatsiooniraamistiku (EKR) 4. taseme treeneri kutsekvalifikatsiooni kutseseaduse tähenduses vastav</w:t>
      </w:r>
      <w:r>
        <w:rPr>
          <w:rFonts w:ascii="Times New Roman" w:hAnsi="Times New Roman"/>
          <w:sz w:val="24"/>
          <w:szCs w:val="24"/>
          <w:lang w:val="et-EE" w:eastAsia="ru-RU"/>
        </w:rPr>
        <w:t>alt spordiseaduse § 6 lõikele 2</w:t>
      </w:r>
      <w:r w:rsidRPr="00D027DF">
        <w:rPr>
          <w:rFonts w:ascii="Times New Roman" w:hAnsi="Times New Roman"/>
          <w:sz w:val="24"/>
          <w:szCs w:val="24"/>
          <w:lang w:val="et-EE" w:eastAsia="ru-RU"/>
        </w:rPr>
        <w:t>.</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b/>
          <w:bCs/>
          <w:sz w:val="24"/>
          <w:szCs w:val="24"/>
          <w:lang w:val="et-EE" w:eastAsia="ru-RU"/>
        </w:rPr>
        <w:t>§6. Pedagoogi ametijärgu omistamise tingimused</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Pedagoogi ametijärk omistatakse vastava taotluse alusel atesteeritavale, kes vastab käesoleva määruse § 4 punktis 1 nimetatud nõudele ja kes on õpetajana tulemuslikult töötanud vähemalt ühe aasta.</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 xml:space="preserve">(2) </w:t>
      </w:r>
      <w:r w:rsidRPr="003B09F6">
        <w:rPr>
          <w:rFonts w:ascii="Times New Roman" w:hAnsi="Times New Roman"/>
          <w:sz w:val="24"/>
          <w:szCs w:val="24"/>
          <w:lang w:val="et-EE" w:eastAsia="ru-RU"/>
        </w:rPr>
        <w:t>Treeneri või treener-õpetaja puhul omistatakse pedagoogi ametijärk vastava taotluse alusel atesteeritavale, kes vastab käesoleva määruse § 4 punktis 1 nimetatud nõudele ja kes on treeneri või treener-õpetajana tulemuslikult töötanud vähemalt ühe aasta ning omab vähemalt III kategooria või Eesti kvalifikatsiooniraamistiku (EKR) 5. taseme treeneri kutsekvalifikatsiooni kutseseaduse tähenduses vastavalt spordiseaduse § 6 lõikele 2</w:t>
      </w:r>
      <w:r w:rsidRPr="00D027DF">
        <w:rPr>
          <w:rFonts w:ascii="Times New Roman" w:hAnsi="Times New Roman"/>
          <w:sz w:val="24"/>
          <w:szCs w:val="24"/>
          <w:lang w:val="et-EE" w:eastAsia="ru-RU"/>
        </w:rPr>
        <w:t>.</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b/>
          <w:bCs/>
          <w:sz w:val="24"/>
          <w:szCs w:val="24"/>
          <w:lang w:val="et-EE" w:eastAsia="ru-RU"/>
        </w:rPr>
        <w:t>§ 7. Vanempedagoogi ametijärgu omistamise tingimused</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Vanempedagoogi ametijärk omistatakse vastava taotluse alusel atesteeritavale, kes vastab käesoleva määruse § 4 punktides1 ja 3 nimetatud nõuetele, on vähemalt viimased kolm aastat tulemuslikult töötanud õpetajana, omades pedagoogi või vanempedagoogi ametijärku, ning on viimase viie aasta jooksul täitnud vähemalt kuus nõuet käesoleva määruse §4 punktides4–13 nimetatud nõuetest. Paragrahvi 4 punktides 8–12 nimetatud nõuded peavad olema täidetud vähemalt maakondlikul tasandil.</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 xml:space="preserve">(2) </w:t>
      </w:r>
      <w:r w:rsidRPr="00AA0A12">
        <w:rPr>
          <w:rFonts w:ascii="Times New Roman" w:hAnsi="Times New Roman"/>
          <w:sz w:val="24"/>
          <w:szCs w:val="24"/>
          <w:lang w:val="et-EE" w:eastAsia="ru-RU"/>
        </w:rPr>
        <w:t>Treeneri või treener-õpetajapuhul omistatakse vanempedagoogi ametijärk vastava taotluse alusel atesteeritavale, kes vastab käesoleva määruse § 4 punktis 1 nimetatud nõudele, on vähemalt viimased kolm aastat tulemuslikult töötanud treeneri või treener-õpetajana, omades pedagoogi või vanempedagoogi ametijärku, ning omab vähemalt IV kategooria või Eesti kvalifikatsiooniraamistiku (EKR) 6. taseme treeneri kutsekvalifikatsiooni kutseseaduse tähenduses vastavalt spordiseaduse § 6 lõikele 2</w:t>
      </w:r>
      <w:r w:rsidRPr="00D027DF">
        <w:rPr>
          <w:rFonts w:ascii="Times New Roman" w:hAnsi="Times New Roman"/>
          <w:sz w:val="24"/>
          <w:szCs w:val="24"/>
          <w:lang w:val="et-EE" w:eastAsia="ru-RU"/>
        </w:rPr>
        <w:t>.</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b/>
          <w:bCs/>
          <w:sz w:val="24"/>
          <w:szCs w:val="24"/>
          <w:lang w:val="et-EE" w:eastAsia="ru-RU"/>
        </w:rPr>
        <w:t>§ 8. Pedagoog-metoodiku ametijärgu omistamise tingimused</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 xml:space="preserve">(1) Pedagoog-metoodiku ametijärk omistatakse vastava taotluse alusel atesteeritavale, kellel on õigusaktidega kehtestatud kvalifikatsiooninõuetele vastav kõrgharidus, kes vastab käesoleva määruse §4 punktis3 nimetatud nõudele, on vähemalt kolm viimast aastat tulemuslikult töötanud õpetajana, omades vanempedagoogi või pedagoog-metoodiku ametijärku ning on viimase viie aasta jooksul täitnud vähemalt kuus nõuet käesoleva määruse §4 punktides4–13 nimetatud nõuetest. Paragrahvi4 punktides8–13 nimetatud nõuded peavad olema täidetud üleriigilisel tasandil. </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 xml:space="preserve">(2) </w:t>
      </w:r>
      <w:r w:rsidRPr="00AA0A12">
        <w:rPr>
          <w:rFonts w:ascii="Times New Roman" w:hAnsi="Times New Roman"/>
          <w:sz w:val="24"/>
          <w:szCs w:val="24"/>
          <w:lang w:val="et-EE" w:eastAsia="ru-RU"/>
        </w:rPr>
        <w:t xml:space="preserve">Treeneri või treener-õpetaja puhul omistatakse </w:t>
      </w:r>
      <w:r w:rsidRPr="00AA0A12">
        <w:rPr>
          <w:rFonts w:ascii="Times New Roman" w:hAnsi="Times New Roman"/>
          <w:bCs/>
          <w:sz w:val="24"/>
          <w:szCs w:val="24"/>
          <w:lang w:val="et-EE" w:eastAsia="ru-RU"/>
        </w:rPr>
        <w:t>pedagoog-metoodiku</w:t>
      </w:r>
      <w:r w:rsidRPr="00AA0A12">
        <w:rPr>
          <w:rFonts w:ascii="Times New Roman" w:hAnsi="Times New Roman"/>
          <w:sz w:val="24"/>
          <w:szCs w:val="24"/>
          <w:lang w:val="et-EE" w:eastAsia="ru-RU"/>
        </w:rPr>
        <w:t xml:space="preserve"> ametijärk vastava taotluse alusel atesteeritavale, kellel on õigusaktidega kehtestatud kvalifikatsiooninõuetele vastav kõrgharidus, kes vastab käesoleva määruse § 4 punktis 3 nimetatud nõudele, on vähemalt kolm viimast aastat tulemuslikult töötanud treeneri või treener-õpetajana, omades vanempedagoogi või pedagoog-metoodiku ametijärku, ning on viimase viie aasta jooksul täitnud vähemalt kuus nõuet käesoleva määruse § 4 punktides 4–13 nimetatud nõuetest. Paragrahvi 4 punktides 8–13 nimetatud nõuded peavad olema täidetud üleriigilisel tasandil. Samuti peab atesteeritav omama ka V kategooria või vähemalt Eesti kvalifikatsiooniraamistiku (EKR) 7. taseme treeneri kutsekvalifikatsiooni kutseseaduse tähenduses vastavalt spordiseaduse § 6 lõikele 2</w:t>
      </w:r>
      <w:r w:rsidRPr="00D027DF">
        <w:rPr>
          <w:rFonts w:ascii="Times New Roman" w:hAnsi="Times New Roman"/>
          <w:sz w:val="24"/>
          <w:szCs w:val="24"/>
          <w:lang w:val="et-EE" w:eastAsia="ru-RU"/>
        </w:rPr>
        <w:t>.</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b/>
          <w:bCs/>
          <w:sz w:val="24"/>
          <w:szCs w:val="24"/>
          <w:lang w:val="et-EE" w:eastAsia="ru-RU"/>
        </w:rPr>
        <w:t>§ 9. Ametijärkude tähtaeg</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Noorempedagoogi ja pedagoogi ametijärk omistatakse tähtajatult.</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(2) Vanempedagoogi ja pedagoog-metoodiku ametijärk omistatakse viieks aastaks.</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(3) Kui atesteeritav, kellele on omistatud vanempedagoogi või pedagoog-metoodiku ametijärk, esitab enne viie aasta möödumist ametijärgu omistamisest taotluse vanempedagoogi või pedagoog-metoodiku ametijärgu omistamiseks, pikeneb talle omistatud ametijärgu tähtaeg taotluse kohta tehtud otsuse kehtima hakkamiseni.</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(4) Kui atesteeritav, kellele on omistatud pedagoog-metoodiku ametijärk, ei taotle enne viie aasta möödumist ametijärgu omistamisest pedagoog-metoodiku või vanempedagoogi ametijärgu omistamist, loetakse ta pedagoog-metoodiku ametijärgu tähtaja lõppemisest alates kolmeks aastaks vastavaks vanempedagoogi ametijärgule. Kui atesteeritav antud tähtaja (3 aastat) jooksul ei taotle pedagoog-metoodiku või vanempedagoogi ametijärgu omistamist, loetakse ta vanempedagoogi ametijärgu tähtaja lõppemisest alates vastavaks pedagoogi ametijärgule.</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b/>
          <w:bCs/>
          <w:sz w:val="24"/>
          <w:szCs w:val="24"/>
          <w:lang w:val="et-EE" w:eastAsia="ru-RU"/>
        </w:rPr>
        <w:t>§ 10. Atesteerimise läbiviijad</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 xml:space="preserve">Atesteerimise läbiviijad (edaspidi </w:t>
      </w:r>
      <w:r w:rsidRPr="00D027DF">
        <w:rPr>
          <w:rFonts w:ascii="Times New Roman" w:hAnsi="Times New Roman"/>
          <w:i/>
          <w:iCs/>
          <w:sz w:val="24"/>
          <w:szCs w:val="24"/>
          <w:lang w:val="et-EE" w:eastAsia="ru-RU"/>
        </w:rPr>
        <w:t>atesteerijad</w:t>
      </w:r>
      <w:r w:rsidRPr="00D027DF">
        <w:rPr>
          <w:rFonts w:ascii="Times New Roman" w:hAnsi="Times New Roman"/>
          <w:sz w:val="24"/>
          <w:szCs w:val="24"/>
          <w:lang w:val="et-EE" w:eastAsia="ru-RU"/>
        </w:rPr>
        <w:t>) on:</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 xml:space="preserve">1) atesteeritava töökohaks oleva huvikooli juht (edaspidi </w:t>
      </w:r>
      <w:r w:rsidRPr="00D027DF">
        <w:rPr>
          <w:rFonts w:ascii="Times New Roman" w:hAnsi="Times New Roman"/>
          <w:i/>
          <w:iCs/>
          <w:sz w:val="24"/>
          <w:szCs w:val="24"/>
          <w:lang w:val="et-EE" w:eastAsia="ru-RU"/>
        </w:rPr>
        <w:t>huvikooli juht</w:t>
      </w:r>
      <w:r w:rsidRPr="00D027DF">
        <w:rPr>
          <w:rFonts w:ascii="Times New Roman" w:hAnsi="Times New Roman"/>
          <w:sz w:val="24"/>
          <w:szCs w:val="24"/>
          <w:lang w:val="et-EE" w:eastAsia="ru-RU"/>
        </w:rPr>
        <w:t>), kes omistab noorempedagoogi ja pedagoogi ametijärgu;</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 xml:space="preserve">2) atesteeritava töökohaks oleva huvikooli juhi moodustatud atesteerimiskomisjon (edaspidi </w:t>
      </w:r>
      <w:r w:rsidRPr="00D027DF">
        <w:rPr>
          <w:rFonts w:ascii="Times New Roman" w:hAnsi="Times New Roman"/>
          <w:i/>
          <w:iCs/>
          <w:sz w:val="24"/>
          <w:szCs w:val="24"/>
          <w:lang w:val="et-EE" w:eastAsia="ru-RU"/>
        </w:rPr>
        <w:t>huvikooli atesteerimiskomisjon</w:t>
      </w:r>
      <w:r w:rsidRPr="00D027DF">
        <w:rPr>
          <w:rFonts w:ascii="Times New Roman" w:hAnsi="Times New Roman"/>
          <w:sz w:val="24"/>
          <w:szCs w:val="24"/>
          <w:lang w:val="et-EE" w:eastAsia="ru-RU"/>
        </w:rPr>
        <w:t>), mis omistab vanempedagoogi ametijärgu;</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 xml:space="preserve">3) Narva Linnavalitsuse Kultuuriosakonna moodustatud atesteerimiskomisjon (edaspidi </w:t>
      </w:r>
      <w:r w:rsidRPr="00D027DF">
        <w:rPr>
          <w:rFonts w:ascii="Times New Roman" w:hAnsi="Times New Roman"/>
          <w:i/>
          <w:iCs/>
          <w:sz w:val="24"/>
          <w:szCs w:val="24"/>
          <w:lang w:val="et-EE" w:eastAsia="ru-RU"/>
        </w:rPr>
        <w:t>kultuuriosakonna atesteerimiskomisjon</w:t>
      </w:r>
      <w:r w:rsidRPr="00D027DF">
        <w:rPr>
          <w:rFonts w:ascii="Times New Roman" w:hAnsi="Times New Roman"/>
          <w:sz w:val="24"/>
          <w:szCs w:val="24"/>
          <w:lang w:val="et-EE" w:eastAsia="ru-RU"/>
        </w:rPr>
        <w:t>), mis omistab pedagoog-metoodiku ametijärgu.</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b/>
          <w:bCs/>
          <w:sz w:val="24"/>
          <w:szCs w:val="24"/>
          <w:lang w:val="et-EE" w:eastAsia="ru-RU"/>
        </w:rPr>
        <w:t>§ 11. Atesteerimiskomisjoni moodustamine</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Huvikooli juht moodustab vanempedagoogi ametijärgu omistamiseks vähemalt seitsmeliikmelise atesteerimiskomisjoni, kuhu kuuluvad:</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kõrgemalseisva ametiasutuse volitatud esindaja;</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2) huvikooli juht või huvikooli juhi asetäitja õppe- ja kasvatustöö alal;</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3) huvikooli õppenõukogu otsusega määratud õpetajate esindaja(d);</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4) huvikooli hoolekogu esindaja(d);</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(2) Narva Linnavalitsuse Kultuuriosakond moodustab pedagoog-metoodiku ametijärgu omistamiseks esitatud taotluste ning atesteerimisel tehtud otsuste peale esitatud kaebuste läbivaatamiseks vähemalt viieliikmelise atesteerimiskomisjoni, kuhu kuuluvad:</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huvikoolide esindajad;</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2) kultuuriosakonna esindajad.</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b/>
          <w:bCs/>
          <w:sz w:val="24"/>
          <w:szCs w:val="24"/>
          <w:lang w:val="et-EE" w:eastAsia="ru-RU"/>
        </w:rPr>
        <w:t>§ 12. Atesteerimiskomisjoni töö korraldamine</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Atesteerimiskomisjoni esimese istungi kutsub kokku käesoleva määruse alusel komisjoni moodustanud asutuse juht.</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(2) Komisjon valib oma liikmete hulgast esimehe, aseesimehe ja sekretäri.</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(3) Atesteerimiskomisjoni tööd juhib atesteerimiskomisjoni esimees, viimase äraolekul aseesimees.</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(4) Atesteerimiskomisjoni tööd korraldab ja istungit protokollib atesteerimiskomisjoni sekretär.</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b/>
          <w:bCs/>
          <w:sz w:val="24"/>
          <w:szCs w:val="24"/>
          <w:lang w:val="et-EE" w:eastAsia="ru-RU"/>
        </w:rPr>
        <w:t>§ 13. Atesteerimiskomisjoni töövorm</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Atesteerimiskomisjoni töövorm on istung.</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(2) Oma ülesannete täitmiseks võib atesteerimiskomisjon rakendada ka teisi töövorme, mille valiku otsustab atesteerimiskomisjon.</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b/>
          <w:bCs/>
          <w:sz w:val="24"/>
          <w:szCs w:val="24"/>
          <w:lang w:val="et-EE" w:eastAsia="ru-RU"/>
        </w:rPr>
        <w:t>§ 14. Atesteerimiskomisjoni istung</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Atesteerimiskomisjoni istungi kutsub kokku esimees, tema äraolekul aseesimees vastavalt vajadusele.</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(2) Atesteerimiskomisjoni sekretär saadab istungi päevakorra koos teiste vajalike materjalidega atesteerimiskomisjoni liikmetele tutvumiseks vähemalt üks nädal enne istungi toimumist.</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(3) Atesteeritaval on õigus osaleda komisjoni istungil tema taotluse arutamise ajal ning tutvuda otsuse protokolliga. Hääletamise ajal atesteeritav istungiruumis ei viibi.</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b/>
          <w:bCs/>
          <w:sz w:val="24"/>
          <w:szCs w:val="24"/>
          <w:lang w:val="et-EE" w:eastAsia="ru-RU"/>
        </w:rPr>
        <w:t>§ 15. Atesteerimiskomisjoni otsus</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Atesteerimiskomisjon on otsustusvõimeline, kui istungist võtab osa vähemalt 2/3 atesteerimiskomisjoni liikmetest, sealhulgas esimees, tema äraolekul aseesimees. Nõutud kvoorumi puudumisel kutsub esimees, tema äraolekul aseesimees uue istungi kokku kahe nädala jooksul.</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(2) Atesteerimiskomisjon võtab otsuse vastu salajase hääletamise teel poolthäälteenamusega. Häälte võrdse jagunemise korral tehakse atesteeritava jaoks positiivne otsus.</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(3) Atesteerimiskomisjoni otsus vormistatakse eraldi iga atesteeritava kohta kahes eksemplaris, millest üks väljastatakse atesteeritavale allkirja vastu või posti teel tähitud kirjaga kümne päeva jooksul pärast otsuse tegemist. Atesteerimiskomisjoni otsusele kirjutavad alla kõik kohalviibinud komisjoni liikmed.</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(4) Atesteerimiskomisjoni otsuseid säilitatakse vastavalt huvikooli dokumentide loetelule.</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b/>
          <w:bCs/>
          <w:sz w:val="24"/>
          <w:szCs w:val="24"/>
          <w:lang w:val="et-EE" w:eastAsia="ru-RU"/>
        </w:rPr>
        <w:t>§ 16. Atesteerimiskomisjoni istungi protokoll</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Atesteerimiskomisjoni sekretär protokollib atesteerimiskomisjoni istungid. Protokollile kirjutavad alla esimees, tema äraolekul aseesimees, ja sekretär. Protokollide koopiad edastab sekretär ühe nädala jooksul pärast istungi toimumist atesteerimiskomisjoni liikmetele.</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(2) Atesteerimiskomisjoni protokolle säilitatakse vastavalt huvikooli dokumentide loetelule.</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b/>
          <w:bCs/>
          <w:sz w:val="24"/>
          <w:szCs w:val="24"/>
          <w:lang w:val="et-EE" w:eastAsia="ru-RU"/>
        </w:rPr>
        <w:t>§ 17. Atesteerija õigused</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Atesteerijal on õigus kaasata oma töösse hääleõiguseta eksperte või spetsialiste, kes esitavad atesteerijale oma hinnangu atesteeritava vastavuse kohta ametijärgu omistamiseks esitatud nõuetele kirjalikult.</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(2) Atesteerimist läbiviival huvikooli juhil, atesteerimiskomisjoni liikmel ja atesteerija poolt kaasatud ekspertidel või spetsialistidel on õigus tutvuda atesteeritava tööd puudutavate materjalidega, külastada tunde ja õpilasüritusi, tutvuda õpilaste töödega, vestelda teiste pedagoogide, õpilaste ja lastevanematega.</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b/>
          <w:bCs/>
          <w:sz w:val="24"/>
          <w:szCs w:val="24"/>
          <w:lang w:val="et-EE" w:eastAsia="ru-RU"/>
        </w:rPr>
        <w:t>§ 18. Atesteerimiskomisjoni teenindamine</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Atesteerimiskomisjoni tehnilise teenindamise tagab atesteerimiskomisjoni moodustaja.</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b/>
          <w:bCs/>
          <w:sz w:val="24"/>
          <w:szCs w:val="24"/>
          <w:lang w:val="et-EE" w:eastAsia="ru-RU"/>
        </w:rPr>
        <w:t>§ 19. Ametijärgu omistamise taotlemine</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Ametijärgu omistamiseks esitab atesteeritav kirjaliku taotluse vabas vormis vastavat ametijärku omistavale atesteerijale.</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(2) Ametijärgu omistamiseks esitatud taotlusele lisatakse:</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ametlikult kinnitatud ärakirjad haridust tõendavatest dokumentidest;</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2) atesteeritava koostatud oma töö analüüs, milles lähtutakse Vabariigi Valitsuse 22. novembri 2000.a määruses nr381 «Õpetajate koolituse raamnõuded» sätestatud õpetaja üldpädevusnõudeist ning atesteeritava ametikohale esitatavaist eripädevusnõudeist;</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3) huvikooli sisekontrolli eest vastutava isiku kirjalik hinnang atesteeritava tööle, milles lähtutakse Vabariigi Valitsuse 22.novembri 2000.a määruses nr381 «Õpetajate koolituse raamnõuded» sätestatud õpetaja üldpädevusnõudeist ning atesteeritava ametikohale esitatavaist eripädevusnõudeist;</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4) ametlikult kinnitatud ärakirjad dokumentidest, mis tõendavad §-s 4 toodud nõuete täitmist;</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5) ametlikult kinnitatud ärakiri viimase atesteerimise otsusest selle olemasolul.</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b/>
          <w:bCs/>
          <w:sz w:val="24"/>
          <w:szCs w:val="24"/>
          <w:lang w:val="et-EE" w:eastAsia="ru-RU"/>
        </w:rPr>
        <w:t>§ 20. Ametijärgu omistamise taotluste läbivaatamine</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Huvikooli juht vaatab ametijärgu omistamiseks esitatud taotluse läbi kümne päeva jooksul taotluse saamisest.</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(2) Huvikooli atesteerimiskomisjon vaatab ametijärgu omistamiseks esitatud taotlusi läbi järgnevalt:</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1. augustist 30. novembrini laekunud taotlused vaadatakse läbi hiljemalt 31. detsembriks;</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2) 1. detsembrist 31. juulini laekunud taotlused vaadatakse läbi hiljemalt 1. septembriks.</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(3) Kultuuriosakonna atesteerimiskomisjon vaatab ametijärgu omistamiseks esitatud taotlusi läbi järgnevalt:</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1. novembrist 31. märtsini laekunud taotlused vaadatakse läbi hiljemalt 31. maiks;</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2) 1. aprillist 31. oktoobrini laekunud taotlused vaadatakse läbi hiljemalt 31. detsembriks.</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b/>
          <w:bCs/>
          <w:sz w:val="24"/>
          <w:szCs w:val="24"/>
          <w:lang w:val="et-EE" w:eastAsia="ru-RU"/>
        </w:rPr>
        <w:t>§ 21. Atesteerija otsuse vaidlustamine</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Kui atesteeritav ei nõustu atesteerija otsusega ametijärgu omistamise kohta, on tal kümne päeva jooksul otsuse kättesaamisest õigus esitada kultuuriosakonna atesteerimiskomisjonile apellatsioon asja uueks otsustamiseks. Kui atesteeritav ei nõustu kultuuriosakonna atesteerimiskomisjoni otsusega ametijärgu omistamise kohta, on tal kolmekümne päeva jooksul otsuse kättesaamisest õigus esitada kaebus halduskohtusse.</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(2) Lõikes 1 nimetatud apellatsiooni läbi vaadates kontrollitakse otsuse õiguspärasust. Selleks uuritakse dokumentaalseid tõendeid ning vajadusel kuulatakse ära asjast huvitatud isikute seletused ja ekspertide ja spetsialistide arvamused.</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(3) Kultuuriosakonna atesteerimiskomisjon vaatab lõikes 1 nimetatud apellatsiooni läbi ja teeb otsuse 30 päeva jooksul taotluse esitamisest.</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(4) Kultuuriosakonna atesteerimiskomisjonil on lõikes 1 nimetatud apellatsiooni läbivaatamisel õigus:</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nõuda vaidlustatud otsuse teinud atesteerijalt vaidlustatud otsusega seotud materjalide koopiate ja vastava istungi protokolli koopia või väljavõtte esitamist;</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2) esitada materjalid vaidlustatud otsuse õiguspärasuse üle otsustamiseks ekspertidele hinnangu andmiseks.</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(5) Apellatsiooni läbivaatamisel on kultuuriosakonna moodustatud atesteerimiskomisjonil õigus oma otsusega:</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teha vaidlustatud otsuse teinud atesteerijale ettekirjutus asja uueks otsustamiseks;</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2) jätta taotlus rahuldamata.</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(6) Kultuuriosakonna atesteerimiskomisjon saadab oma otsuse tähitud kirjaga apellatsiooni esitajale apellatsioonis märgitud aadressil ja vaidlustatud otsuse teinud atesteerijale 10 päeva jooksul otsuse tegemisest.</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(7) Kultuuriosakonna atesteerimiskomisjoni ettekirjutus on vaidlustatud otsuse teinud atesteerijale täitmiseks kohustuslik.</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b/>
          <w:bCs/>
          <w:sz w:val="24"/>
          <w:szCs w:val="24"/>
          <w:lang w:val="et-EE" w:eastAsia="ru-RU"/>
        </w:rPr>
        <w:t>§ 22. Rakendussätted</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(1) Nende pedagoogidele, kelle ametijärkude tähtajad on möödunud alates 14.12.2008.a kuni käesoleva määruse jõustumiseni, pikendatakse</w:t>
      </w:r>
      <w:r w:rsidRPr="00D027DF">
        <w:rPr>
          <w:rFonts w:ascii="Times New Roman" w:hAnsi="Times New Roman"/>
          <w:b/>
          <w:bCs/>
          <w:sz w:val="24"/>
          <w:szCs w:val="24"/>
          <w:lang w:val="et-EE" w:eastAsia="ru-RU"/>
        </w:rPr>
        <w:t xml:space="preserve"> ametijärkude kehtivuse tähtaega kuni</w:t>
      </w:r>
      <w:r w:rsidRPr="00D027DF">
        <w:rPr>
          <w:rFonts w:ascii="Times New Roman" w:hAnsi="Times New Roman"/>
          <w:sz w:val="24"/>
          <w:szCs w:val="24"/>
          <w:lang w:val="et-EE" w:eastAsia="ru-RU"/>
        </w:rPr>
        <w:t xml:space="preserve"> 1. septembrini 2009.a.</w:t>
      </w:r>
    </w:p>
    <w:p w:rsidR="00740822" w:rsidRPr="00D027DF" w:rsidRDefault="00740822" w:rsidP="00D027DF">
      <w:pPr>
        <w:spacing w:before="240" w:after="100" w:afterAutospacing="1" w:line="240" w:lineRule="auto"/>
        <w:rPr>
          <w:rFonts w:ascii="Times New Roman" w:hAnsi="Times New Roman"/>
          <w:sz w:val="24"/>
          <w:szCs w:val="24"/>
          <w:lang w:val="et-EE" w:eastAsia="ru-RU"/>
        </w:rPr>
      </w:pPr>
      <w:r w:rsidRPr="00D027DF">
        <w:rPr>
          <w:rFonts w:ascii="Times New Roman" w:hAnsi="Times New Roman"/>
          <w:sz w:val="24"/>
          <w:szCs w:val="24"/>
          <w:lang w:val="et-EE" w:eastAsia="ru-RU"/>
        </w:rPr>
        <w:t>(2) Määrus jõustub 01.06.2009.</w:t>
      </w:r>
    </w:p>
    <w:p w:rsidR="00740822" w:rsidRPr="008B07A2" w:rsidRDefault="00740822">
      <w:pPr>
        <w:rPr>
          <w:lang w:val="et-EE"/>
        </w:rPr>
      </w:pPr>
      <w:r>
        <w:rPr>
          <w:lang w:val="et-EE"/>
        </w:rPr>
        <w:tab/>
      </w:r>
      <w:r>
        <w:rPr>
          <w:lang w:val="et-EE"/>
        </w:rPr>
        <w:tab/>
      </w:r>
      <w:r>
        <w:rPr>
          <w:lang w:val="et-EE"/>
        </w:rPr>
        <w:tab/>
      </w:r>
      <w:r>
        <w:rPr>
          <w:lang w:val="et-EE"/>
        </w:rPr>
        <w:tab/>
      </w:r>
      <w:r>
        <w:rPr>
          <w:lang w:val="et-EE"/>
        </w:rPr>
        <w:tab/>
      </w:r>
    </w:p>
    <w:tbl>
      <w:tblPr>
        <w:tblW w:w="5000" w:type="pct"/>
        <w:tblCellMar>
          <w:top w:w="15" w:type="dxa"/>
          <w:left w:w="15" w:type="dxa"/>
          <w:bottom w:w="15" w:type="dxa"/>
          <w:right w:w="15" w:type="dxa"/>
        </w:tblCellMar>
        <w:tblLook w:val="00A0"/>
      </w:tblPr>
      <w:tblGrid>
        <w:gridCol w:w="5687"/>
        <w:gridCol w:w="3698"/>
      </w:tblGrid>
      <w:tr w:rsidR="00740822" w:rsidRPr="005C581A" w:rsidTr="008B07A2">
        <w:trPr>
          <w:trHeight w:val="255"/>
        </w:trPr>
        <w:tc>
          <w:tcPr>
            <w:tcW w:w="3000" w:type="pct"/>
          </w:tcPr>
          <w:p w:rsidR="00740822" w:rsidRPr="008B07A2" w:rsidRDefault="00740822" w:rsidP="008B07A2">
            <w:pPr>
              <w:spacing w:before="240" w:after="0" w:line="240" w:lineRule="auto"/>
              <w:rPr>
                <w:rFonts w:ascii="Times New Roman" w:hAnsi="Times New Roman"/>
                <w:sz w:val="24"/>
                <w:szCs w:val="24"/>
                <w:lang w:eastAsia="ru-RU"/>
              </w:rPr>
            </w:pPr>
          </w:p>
        </w:tc>
        <w:tc>
          <w:tcPr>
            <w:tcW w:w="1950" w:type="pct"/>
          </w:tcPr>
          <w:p w:rsidR="00740822" w:rsidRPr="008B07A2" w:rsidRDefault="00740822" w:rsidP="008B07A2">
            <w:pPr>
              <w:spacing w:before="240" w:after="0" w:line="240" w:lineRule="auto"/>
              <w:rPr>
                <w:rFonts w:ascii="Times New Roman" w:hAnsi="Times New Roman"/>
                <w:sz w:val="24"/>
                <w:szCs w:val="24"/>
                <w:lang w:eastAsia="ru-RU"/>
              </w:rPr>
            </w:pPr>
            <w:r w:rsidRPr="008B07A2">
              <w:rPr>
                <w:rFonts w:ascii="Times New Roman" w:hAnsi="Times New Roman"/>
                <w:b/>
                <w:bCs/>
                <w:sz w:val="24"/>
                <w:szCs w:val="24"/>
                <w:lang w:eastAsia="ru-RU"/>
              </w:rPr>
              <w:t xml:space="preserve">Linnapea Tarmo TAMMISTE </w:t>
            </w:r>
          </w:p>
        </w:tc>
      </w:tr>
    </w:tbl>
    <w:p w:rsidR="00740822" w:rsidRPr="008B07A2" w:rsidRDefault="00740822" w:rsidP="008B07A2">
      <w:pPr>
        <w:spacing w:after="0" w:line="240" w:lineRule="auto"/>
        <w:rPr>
          <w:rFonts w:ascii="Times New Roman" w:hAnsi="Times New Roman"/>
          <w:vanish/>
          <w:sz w:val="24"/>
          <w:szCs w:val="24"/>
          <w:lang w:val="et-EE" w:eastAsia="ru-RU"/>
        </w:rPr>
      </w:pPr>
    </w:p>
    <w:tbl>
      <w:tblPr>
        <w:tblW w:w="5000" w:type="pct"/>
        <w:tblCellMar>
          <w:top w:w="15" w:type="dxa"/>
          <w:left w:w="15" w:type="dxa"/>
          <w:bottom w:w="15" w:type="dxa"/>
          <w:right w:w="15" w:type="dxa"/>
        </w:tblCellMar>
        <w:tblLook w:val="00A0"/>
      </w:tblPr>
      <w:tblGrid>
        <w:gridCol w:w="5687"/>
        <w:gridCol w:w="3698"/>
      </w:tblGrid>
      <w:tr w:rsidR="00740822" w:rsidRPr="005C581A" w:rsidTr="008B07A2">
        <w:trPr>
          <w:trHeight w:val="255"/>
        </w:trPr>
        <w:tc>
          <w:tcPr>
            <w:tcW w:w="3000" w:type="pct"/>
          </w:tcPr>
          <w:p w:rsidR="00740822" w:rsidRPr="008B07A2" w:rsidRDefault="00740822" w:rsidP="008B07A2">
            <w:pPr>
              <w:spacing w:before="240" w:after="0" w:line="240" w:lineRule="auto"/>
              <w:rPr>
                <w:rFonts w:ascii="Times New Roman" w:hAnsi="Times New Roman"/>
                <w:sz w:val="24"/>
                <w:szCs w:val="24"/>
                <w:lang w:eastAsia="ru-RU"/>
              </w:rPr>
            </w:pPr>
          </w:p>
        </w:tc>
        <w:tc>
          <w:tcPr>
            <w:tcW w:w="1950" w:type="pct"/>
          </w:tcPr>
          <w:p w:rsidR="00740822" w:rsidRPr="008B07A2" w:rsidRDefault="00740822" w:rsidP="008B07A2">
            <w:pPr>
              <w:spacing w:before="240" w:after="0" w:line="240" w:lineRule="auto"/>
              <w:rPr>
                <w:rFonts w:ascii="Times New Roman" w:hAnsi="Times New Roman"/>
                <w:sz w:val="24"/>
                <w:szCs w:val="24"/>
                <w:lang w:eastAsia="ru-RU"/>
              </w:rPr>
            </w:pPr>
            <w:r w:rsidRPr="008B07A2">
              <w:rPr>
                <w:rFonts w:ascii="Times New Roman" w:hAnsi="Times New Roman"/>
                <w:b/>
                <w:bCs/>
                <w:sz w:val="24"/>
                <w:szCs w:val="24"/>
                <w:lang w:eastAsia="ru-RU"/>
              </w:rPr>
              <w:t xml:space="preserve">Linnasekretär Ants LIIMETS </w:t>
            </w:r>
          </w:p>
        </w:tc>
      </w:tr>
    </w:tbl>
    <w:p w:rsidR="00740822" w:rsidRPr="008B07A2" w:rsidRDefault="00740822">
      <w:pPr>
        <w:rPr>
          <w:lang w:val="et-EE"/>
        </w:rPr>
      </w:pPr>
      <w:bookmarkStart w:id="0" w:name="_GoBack"/>
      <w:bookmarkEnd w:id="0"/>
    </w:p>
    <w:sectPr w:rsidR="00740822" w:rsidRPr="008B07A2" w:rsidSect="002C181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B030C"/>
    <w:rsid w:val="002373CA"/>
    <w:rsid w:val="002C181D"/>
    <w:rsid w:val="003B09F6"/>
    <w:rsid w:val="004B608B"/>
    <w:rsid w:val="004F4D14"/>
    <w:rsid w:val="00536338"/>
    <w:rsid w:val="005C581A"/>
    <w:rsid w:val="00740822"/>
    <w:rsid w:val="008B07A2"/>
    <w:rsid w:val="00AA0A12"/>
    <w:rsid w:val="00AB317F"/>
    <w:rsid w:val="00CB030C"/>
    <w:rsid w:val="00D027DF"/>
    <w:rsid w:val="00D82A63"/>
  </w:rsids>
  <m:mathPr>
    <m:mathFont m:val="Cambria Math"/>
    <m:brkBin m:val="before"/>
    <m:brkBinSub m:val="--"/>
    <m:smallFrac m:val="off"/>
    <m:dispDef/>
    <m:lMargin m:val="0"/>
    <m:rMargin m:val="0"/>
    <m:defJc m:val="centerGroup"/>
    <m:wrapIndent m:val="1440"/>
    <m:intLim m:val="subSup"/>
    <m:naryLim m:val="undOvr"/>
  </m:mathPr>
  <w:uiCompat97To2003/>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t-EE" w:eastAsia="et-E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81D"/>
    <w:pPr>
      <w:spacing w:after="200" w:line="276" w:lineRule="auto"/>
    </w:pPr>
    <w:rPr>
      <w:lang w:val="ru-RU"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D027DF"/>
    <w:rPr>
      <w:lang w:val="ru-RU" w:eastAsia="en-US"/>
    </w:rPr>
  </w:style>
</w:styles>
</file>

<file path=word/webSettings.xml><?xml version="1.0" encoding="utf-8"?>
<w:webSettings xmlns:r="http://schemas.openxmlformats.org/officeDocument/2006/relationships" xmlns:w="http://schemas.openxmlformats.org/wordprocessingml/2006/main">
  <w:divs>
    <w:div w:id="1514149821">
      <w:marLeft w:val="0"/>
      <w:marRight w:val="0"/>
      <w:marTop w:val="0"/>
      <w:marBottom w:val="0"/>
      <w:divBdr>
        <w:top w:val="none" w:sz="0" w:space="0" w:color="auto"/>
        <w:left w:val="none" w:sz="0" w:space="0" w:color="auto"/>
        <w:bottom w:val="none" w:sz="0" w:space="0" w:color="auto"/>
        <w:right w:val="none" w:sz="0" w:space="0" w:color="auto"/>
      </w:divBdr>
      <w:divsChild>
        <w:div w:id="1514149829">
          <w:marLeft w:val="0"/>
          <w:marRight w:val="0"/>
          <w:marTop w:val="0"/>
          <w:marBottom w:val="0"/>
          <w:divBdr>
            <w:top w:val="none" w:sz="0" w:space="0" w:color="auto"/>
            <w:left w:val="none" w:sz="0" w:space="0" w:color="auto"/>
            <w:bottom w:val="none" w:sz="0" w:space="0" w:color="auto"/>
            <w:right w:val="none" w:sz="0" w:space="0" w:color="auto"/>
          </w:divBdr>
          <w:divsChild>
            <w:div w:id="1514149822">
              <w:marLeft w:val="0"/>
              <w:marRight w:val="0"/>
              <w:marTop w:val="0"/>
              <w:marBottom w:val="0"/>
              <w:divBdr>
                <w:top w:val="none" w:sz="0" w:space="0" w:color="auto"/>
                <w:left w:val="none" w:sz="0" w:space="0" w:color="auto"/>
                <w:bottom w:val="none" w:sz="0" w:space="0" w:color="auto"/>
                <w:right w:val="none" w:sz="0" w:space="0" w:color="auto"/>
              </w:divBdr>
              <w:divsChild>
                <w:div w:id="1514149830">
                  <w:marLeft w:val="0"/>
                  <w:marRight w:val="0"/>
                  <w:marTop w:val="0"/>
                  <w:marBottom w:val="0"/>
                  <w:divBdr>
                    <w:top w:val="none" w:sz="0" w:space="0" w:color="auto"/>
                    <w:left w:val="none" w:sz="0" w:space="0" w:color="auto"/>
                    <w:bottom w:val="none" w:sz="0" w:space="0" w:color="auto"/>
                    <w:right w:val="none" w:sz="0" w:space="0" w:color="auto"/>
                  </w:divBdr>
                  <w:divsChild>
                    <w:div w:id="1514149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149827">
      <w:marLeft w:val="0"/>
      <w:marRight w:val="0"/>
      <w:marTop w:val="0"/>
      <w:marBottom w:val="0"/>
      <w:divBdr>
        <w:top w:val="none" w:sz="0" w:space="0" w:color="auto"/>
        <w:left w:val="none" w:sz="0" w:space="0" w:color="auto"/>
        <w:bottom w:val="none" w:sz="0" w:space="0" w:color="auto"/>
        <w:right w:val="none" w:sz="0" w:space="0" w:color="auto"/>
      </w:divBdr>
      <w:divsChild>
        <w:div w:id="1514149823">
          <w:marLeft w:val="0"/>
          <w:marRight w:val="0"/>
          <w:marTop w:val="0"/>
          <w:marBottom w:val="0"/>
          <w:divBdr>
            <w:top w:val="none" w:sz="0" w:space="0" w:color="auto"/>
            <w:left w:val="none" w:sz="0" w:space="0" w:color="auto"/>
            <w:bottom w:val="none" w:sz="0" w:space="0" w:color="auto"/>
            <w:right w:val="none" w:sz="0" w:space="0" w:color="auto"/>
          </w:divBdr>
          <w:divsChild>
            <w:div w:id="1514149825">
              <w:marLeft w:val="0"/>
              <w:marRight w:val="0"/>
              <w:marTop w:val="0"/>
              <w:marBottom w:val="0"/>
              <w:divBdr>
                <w:top w:val="none" w:sz="0" w:space="0" w:color="auto"/>
                <w:left w:val="none" w:sz="0" w:space="0" w:color="auto"/>
                <w:bottom w:val="none" w:sz="0" w:space="0" w:color="auto"/>
                <w:right w:val="none" w:sz="0" w:space="0" w:color="auto"/>
              </w:divBdr>
              <w:divsChild>
                <w:div w:id="1514149831">
                  <w:marLeft w:val="0"/>
                  <w:marRight w:val="0"/>
                  <w:marTop w:val="0"/>
                  <w:marBottom w:val="0"/>
                  <w:divBdr>
                    <w:top w:val="none" w:sz="0" w:space="0" w:color="auto"/>
                    <w:left w:val="none" w:sz="0" w:space="0" w:color="auto"/>
                    <w:bottom w:val="none" w:sz="0" w:space="0" w:color="auto"/>
                    <w:right w:val="none" w:sz="0" w:space="0" w:color="auto"/>
                  </w:divBdr>
                  <w:divsChild>
                    <w:div w:id="1514149820">
                      <w:marLeft w:val="0"/>
                      <w:marRight w:val="0"/>
                      <w:marTop w:val="0"/>
                      <w:marBottom w:val="0"/>
                      <w:divBdr>
                        <w:top w:val="none" w:sz="0" w:space="0" w:color="auto"/>
                        <w:left w:val="none" w:sz="0" w:space="0" w:color="auto"/>
                        <w:bottom w:val="none" w:sz="0" w:space="0" w:color="auto"/>
                        <w:right w:val="none" w:sz="0" w:space="0" w:color="auto"/>
                      </w:divBdr>
                      <w:divsChild>
                        <w:div w:id="1514149826">
                          <w:marLeft w:val="0"/>
                          <w:marRight w:val="0"/>
                          <w:marTop w:val="0"/>
                          <w:marBottom w:val="0"/>
                          <w:divBdr>
                            <w:top w:val="none" w:sz="0" w:space="0" w:color="auto"/>
                            <w:left w:val="none" w:sz="0" w:space="0" w:color="auto"/>
                            <w:bottom w:val="none" w:sz="0" w:space="0" w:color="auto"/>
                            <w:right w:val="none" w:sz="0" w:space="0" w:color="auto"/>
                          </w:divBdr>
                        </w:div>
                      </w:divsChild>
                    </w:div>
                    <w:div w:id="151414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7</Pages>
  <Words>2336</Words>
  <Characters>13553</Characters>
  <Application>Microsoft Office Outlook</Application>
  <DocSecurity>0</DocSecurity>
  <Lines>0</Lines>
  <Paragraphs>0</Paragraphs>
  <ScaleCrop>false</ScaleCrop>
  <Company>Hewlett-Packard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Muudetud </dc:title>
  <dc:subject/>
  <dc:creator>Anastassia Jakovleva</dc:creator>
  <cp:keywords/>
  <dc:description/>
  <cp:lastModifiedBy>Silvi</cp:lastModifiedBy>
  <cp:revision>2</cp:revision>
  <dcterms:created xsi:type="dcterms:W3CDTF">2013-12-19T12:09:00Z</dcterms:created>
  <dcterms:modified xsi:type="dcterms:W3CDTF">2013-12-19T12:09:00Z</dcterms:modified>
</cp:coreProperties>
</file>