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1BE" w:rsidRDefault="001641BE" w:rsidP="002452CA">
      <w:pPr>
        <w:pStyle w:val="BodyText"/>
        <w:rPr>
          <w:b/>
          <w:bCs/>
        </w:rPr>
      </w:pPr>
      <w:r>
        <w:rPr>
          <w:b/>
          <w:bCs/>
        </w:rPr>
        <w:t>Seletuskiri</w:t>
      </w:r>
    </w:p>
    <w:p w:rsidR="001641BE" w:rsidRDefault="001641BE" w:rsidP="007A2F4B">
      <w:pPr>
        <w:pStyle w:val="BodyText"/>
      </w:pPr>
      <w:r>
        <w:t>Narva  Linnavolikogu määruse eelnõu „Narva linna  omandis  olevale kinnis</w:t>
      </w:r>
      <w:r w:rsidR="00CB71B2">
        <w:t>asjale</w:t>
      </w:r>
      <w:r>
        <w:t xml:space="preserve">  hoonestusõiguse  seadmise kord” juurde</w:t>
      </w:r>
    </w:p>
    <w:p w:rsidR="001641BE" w:rsidRDefault="001641BE" w:rsidP="007A2F4B">
      <w:pPr>
        <w:pStyle w:val="BodyText"/>
      </w:pPr>
    </w:p>
    <w:p w:rsidR="001641BE" w:rsidRDefault="001641BE" w:rsidP="002452CA">
      <w:pPr>
        <w:pStyle w:val="Sisu"/>
      </w:pPr>
      <w:r>
        <w:t>Linnavolikogu määruse eelnõu kohaselt kehtestatakse Narv</w:t>
      </w:r>
      <w:r w:rsidR="00CB71B2">
        <w:t>a linna omandis olevale kinnisasja</w:t>
      </w:r>
      <w:r>
        <w:t xml:space="preserve">le hoonestusõiguse seadmise kord uues redaktsioonis ning tunnistatakse kehtetuks Narva Linnavolikogu 17. märtsi 2005 määrus nr 13/52 „Narva Linna  munitsipaalomandis  oleva  hoonestamata maa  hoonestusõiguse  seadmise kord”. </w:t>
      </w:r>
    </w:p>
    <w:p w:rsidR="001641BE" w:rsidRDefault="001641BE" w:rsidP="002452CA">
      <w:pPr>
        <w:pStyle w:val="BodyText"/>
        <w:spacing w:after="120"/>
      </w:pPr>
      <w:r>
        <w:t xml:space="preserve">Eelnõuga kavandatud muudatused on tinginud vajadus ajakohastada Narva linna omandis olevatele kinnisasjadele hoonestusõiguse seadmise korda. Vajadus kehtestada paindlikumad hoonestusõiguse seadmise tingimused tuleneb eelkõige muutunud majandusolustikust. </w:t>
      </w:r>
    </w:p>
    <w:p w:rsidR="001641BE" w:rsidRPr="008F5B90" w:rsidRDefault="001641BE" w:rsidP="002452CA">
      <w:pPr>
        <w:pStyle w:val="BodyText"/>
        <w:spacing w:after="120"/>
      </w:pPr>
      <w:r>
        <w:t xml:space="preserve">Määruse eelnõu 1. peatüki üldsätetes (§-d 1–4) ei ole kehtiva korraga võrreldes suuri sisulisi muudatusi tehtud. Täpsustatud ja täiendatud on vaid enampakkumise viise. Nimelt nähakse eelnõu §-s 3 ette võimalus seada kinnisasjale hoonestusõigus otsustuskorras ilma avaliku  </w:t>
      </w:r>
      <w:r w:rsidRPr="008F5B90">
        <w:t>enampakkumise läbiviimiseta  konkreetse  füüsilise või  juriidilise isiku kasuks sotsiaal-, ravi, haridus-, mittetulundus-, kultuuri- ja  infrastruktuuri objektide rajamiseks, mis vastavad Narva linna elanike huvidele.</w:t>
      </w:r>
    </w:p>
    <w:p w:rsidR="001641BE" w:rsidRPr="008F5B90" w:rsidRDefault="001641BE" w:rsidP="002452CA">
      <w:pPr>
        <w:pStyle w:val="BodyText"/>
        <w:spacing w:after="120"/>
      </w:pPr>
      <w:r w:rsidRPr="008F5B90">
        <w:t>Mä</w:t>
      </w:r>
      <w:r w:rsidR="00CB71B2" w:rsidRPr="008F5B90">
        <w:t>äruse eelnõu 2. peatükk (§-d 5-29</w:t>
      </w:r>
      <w:r w:rsidRPr="008F5B90">
        <w:t>) reguleerib hoonestusõiguse seadmise ettevalmistamist. Eelnõu § 5 kohaselt võivad hoonestusõiguse seadmise algatada linnavara valitseja, füüsiline või juriidiline isik või ametiasutus oma alg</w:t>
      </w:r>
      <w:bookmarkStart w:id="0" w:name="_GoBack"/>
      <w:bookmarkEnd w:id="0"/>
      <w:r w:rsidRPr="008F5B90">
        <w:t>atusel. Kinnisasjadele hoonestusõiguse seadmise taotluse esitab  füüsiline või juriidiline isik ametiasutusele. Määruse eelnõu § 6</w:t>
      </w:r>
      <w:r w:rsidR="00CB71B2" w:rsidRPr="008F5B90">
        <w:rPr>
          <w:strike/>
        </w:rPr>
        <w:t>,</w:t>
      </w:r>
      <w:r w:rsidRPr="008F5B90">
        <w:t xml:space="preserve"> sätestab hoonestusõiguse seadmise tingimused.</w:t>
      </w:r>
    </w:p>
    <w:p w:rsidR="001641BE" w:rsidRPr="008F5B90" w:rsidRDefault="00CB71B2" w:rsidP="00966717">
      <w:pPr>
        <w:pStyle w:val="BodyText"/>
        <w:spacing w:after="120"/>
      </w:pPr>
      <w:r w:rsidRPr="008F5B90">
        <w:t>2. peatüki 1. jagu  (§-d 7−13</w:t>
      </w:r>
      <w:r w:rsidR="001641BE" w:rsidRPr="008F5B90">
        <w:t xml:space="preserve">) reguleerib enampakkumise ettevalmistamist, sh kuulutuse avaldamist, küsimuste esitamist, enampakkumises osalemise piiranguid, pakkuja  kvalifitseerimise tingimusi ja pakkumuse tegemist ning osavõtutasu. </w:t>
      </w:r>
    </w:p>
    <w:p w:rsidR="001641BE" w:rsidRPr="008F5B90" w:rsidRDefault="00CB71B2" w:rsidP="002452CA">
      <w:pPr>
        <w:pStyle w:val="BodyText"/>
        <w:spacing w:after="120"/>
      </w:pPr>
      <w:r w:rsidRPr="008F5B90">
        <w:t>2.</w:t>
      </w:r>
      <w:r w:rsidR="008F5B90">
        <w:t xml:space="preserve"> </w:t>
      </w:r>
      <w:r w:rsidRPr="008F5B90">
        <w:t>peatüki 2. jagu</w:t>
      </w:r>
      <w:r w:rsidR="001641BE" w:rsidRPr="008F5B90">
        <w:t xml:space="preserve"> reguleerib kinnisasjale hoonestusõiguse seadmist suulis</w:t>
      </w:r>
      <w:r w:rsidRPr="008F5B90">
        <w:t>e  enampakkumise korras (§-d 14–21</w:t>
      </w:r>
      <w:r w:rsidR="001641BE" w:rsidRPr="008F5B90">
        <w:t xml:space="preserve">). Suulise enampakkumise regulatsioonis sisulisi muudatusi eelnõu ette ei näe. </w:t>
      </w:r>
    </w:p>
    <w:p w:rsidR="001641BE" w:rsidRPr="008F5B90" w:rsidRDefault="00CB71B2" w:rsidP="00D64DC2">
      <w:pPr>
        <w:pStyle w:val="BodyText"/>
        <w:spacing w:after="120"/>
      </w:pPr>
      <w:r w:rsidRPr="008F5B90">
        <w:t>2.</w:t>
      </w:r>
      <w:r w:rsidR="008F5B90">
        <w:t xml:space="preserve"> </w:t>
      </w:r>
      <w:r w:rsidRPr="008F5B90">
        <w:t>peatüki 3. jagu</w:t>
      </w:r>
      <w:r w:rsidR="001641BE" w:rsidRPr="008F5B90">
        <w:t xml:space="preserve"> reguleerib kinnisasjale hoonestusõiguse seadmist eelläbirääkimist</w:t>
      </w:r>
      <w:r w:rsidRPr="008F5B90">
        <w:t>e   enampakkumise korras (§-d 22–26</w:t>
      </w:r>
      <w:r w:rsidR="001641BE" w:rsidRPr="008F5B90">
        <w:t xml:space="preserve">). Eelläbirääkimiste  enampakkumise regulatsioonis sisulisi muudatusi eelnõu ette ei näe. </w:t>
      </w:r>
    </w:p>
    <w:p w:rsidR="001641BE" w:rsidRPr="008F5B90" w:rsidRDefault="00CB71B2" w:rsidP="00D64DC2">
      <w:pPr>
        <w:pStyle w:val="BodyText"/>
        <w:spacing w:after="120"/>
      </w:pPr>
      <w:r w:rsidRPr="008F5B90">
        <w:t xml:space="preserve">2. peatüki 4. jagu </w:t>
      </w:r>
      <w:r w:rsidR="001641BE" w:rsidRPr="008F5B90">
        <w:t xml:space="preserve"> reguleerib kinnisasjale hoonestusõiguse</w:t>
      </w:r>
      <w:r w:rsidR="00BE2990" w:rsidRPr="008F5B90">
        <w:t xml:space="preserve"> seadmist otsustuskorras (§-d 27</w:t>
      </w:r>
      <w:r w:rsidR="001641BE" w:rsidRPr="008F5B90">
        <w:t>–30).</w:t>
      </w:r>
    </w:p>
    <w:p w:rsidR="001641BE" w:rsidRPr="008F5B90" w:rsidRDefault="00CB71B2" w:rsidP="00D64DC2">
      <w:pPr>
        <w:pStyle w:val="BodyText"/>
        <w:spacing w:after="120"/>
      </w:pPr>
      <w:r w:rsidRPr="008F5B90">
        <w:t>Nimelt nähakse eelnõu §-s 27</w:t>
      </w:r>
      <w:r w:rsidR="001641BE" w:rsidRPr="008F5B90">
        <w:t xml:space="preserve"> ette võimalus seada kinnisasjale hoonestusõigus otsustuskorras ilma avaliku  enampakkumise läbiviimiseta  konkreetse  füüsilise või  juriidilise isiku kasuks sotsiaal-, ravi, haridus-, mittetulundus-, kultuuri- ja  infrastruktuuri objektide rajamiseks, mis vastavad Narva linna elanike huvidele. Antud teenuste osutamine peab olema linna jaoks  tasuta. Antud korras seatud  hoonestusõigus  ei või olla  koormatud piiratud  asjaõigustega, sh  ei või selle  hoonestusõiguse suhtes olla seatud  hüpoteek. </w:t>
      </w:r>
    </w:p>
    <w:p w:rsidR="001641BE" w:rsidRPr="008F5B90" w:rsidRDefault="00CB71B2" w:rsidP="002452CA">
      <w:pPr>
        <w:pStyle w:val="BodyText"/>
        <w:spacing w:after="120"/>
      </w:pPr>
      <w:r w:rsidRPr="008F5B90">
        <w:t>Määruse eelnõu 3</w:t>
      </w:r>
      <w:r w:rsidR="001641BE" w:rsidRPr="008F5B90">
        <w:t>. peatükk reguleerib enampakkumise tulemuste kinnitamise ja enampakkumise nurjunuks t</w:t>
      </w:r>
      <w:r w:rsidRPr="008F5B90">
        <w:t>unnistamise  protseduuri (§-d 30–34</w:t>
      </w:r>
      <w:r w:rsidR="001641BE" w:rsidRPr="008F5B90">
        <w:t>). Eelnõus sätestatavat enampakkumise tulemuste kinnitamise regulatsiooni ei ole sisuliselt muudetud. Ka enampakkumise nurjunuks tunnistamise ja enampakkumise tulemuste tühistamise regulatsioon on jäänud sisuliselt muutmata.</w:t>
      </w:r>
    </w:p>
    <w:p w:rsidR="001641BE" w:rsidRPr="008F5B90" w:rsidRDefault="00CB71B2" w:rsidP="002452CA">
      <w:pPr>
        <w:pStyle w:val="BodyText"/>
        <w:spacing w:after="120"/>
      </w:pPr>
      <w:r w:rsidRPr="008F5B90">
        <w:t>Määruse eelnõu 4. peatükk (§-d 35−59</w:t>
      </w:r>
      <w:r w:rsidR="001641BE" w:rsidRPr="008F5B90">
        <w:t xml:space="preserve">) sätestab hoonestusõiguse seadmise lepingu tingimused. </w:t>
      </w:r>
    </w:p>
    <w:p w:rsidR="00BE2990" w:rsidRPr="008F5B90" w:rsidRDefault="00CB71B2" w:rsidP="002452CA">
      <w:pPr>
        <w:pStyle w:val="BodyText"/>
        <w:spacing w:after="120"/>
      </w:pPr>
      <w:r w:rsidRPr="008F5B90">
        <w:lastRenderedPageBreak/>
        <w:t>Määruse eelnõu sätetes (§-d 35–59</w:t>
      </w:r>
      <w:r w:rsidR="001641BE" w:rsidRPr="008F5B90">
        <w:t>) ei ole kehtiva korraga võrreldes suuri sisulisi m</w:t>
      </w:r>
      <w:r w:rsidR="00BE2990" w:rsidRPr="008F5B90">
        <w:t>uudatusi tehtud, aga eelnõu § 35 lõikes 2</w:t>
      </w:r>
      <w:r w:rsidR="001641BE" w:rsidRPr="008F5B90">
        <w:t xml:space="preserve"> toodud muudatus sätestab, </w:t>
      </w:r>
      <w:r w:rsidR="00BE2990" w:rsidRPr="008F5B90">
        <w:t xml:space="preserve">võttes arvesse  kinnisasja  omadusi, pindala või nimetatud kinnisasjal ehitiste  olemasolu, määrtakse  hoonestusõiguse  seadmise tasu  algsuurus maa maksustamishinnast või  hoonestusõiguse  harilikust  väärtusest lähtudes.  Hoonestusõiguse  harilik  väärtus on  selle keskmine  müügihind (turuväärtus). Turuväärtuse leidmiseks  tellitakse  kinnisasja  hindamine. </w:t>
      </w:r>
      <w:r w:rsidR="008F5B90" w:rsidRPr="008F5B90">
        <w:t xml:space="preserve"> E</w:t>
      </w:r>
      <w:r w:rsidR="00BE2990" w:rsidRPr="008F5B90">
        <w:t>elnõu §</w:t>
      </w:r>
      <w:r w:rsidR="00BE2990" w:rsidRPr="008F5B90">
        <w:t xml:space="preserve"> 36</w:t>
      </w:r>
      <w:r w:rsidR="00BE2990" w:rsidRPr="008F5B90">
        <w:t xml:space="preserve"> lõikes 2 toodud muudatus sätestab,</w:t>
      </w:r>
      <w:r w:rsidR="00BE2990" w:rsidRPr="008F5B90">
        <w:t xml:space="preserve"> et  hoonestamata  kinnisasja puhul  on hoonestusõiguse aastatasu   suurus sõltuvalt  katastriüksuse sihtotstarbest  järgmine:</w:t>
      </w:r>
    </w:p>
    <w:p w:rsidR="00BE2990" w:rsidRPr="008F5B90" w:rsidRDefault="00BE2990" w:rsidP="00BE2990">
      <w:pPr>
        <w:widowControl w:val="0"/>
        <w:numPr>
          <w:ilvl w:val="0"/>
          <w:numId w:val="1"/>
        </w:numPr>
      </w:pPr>
      <w:r w:rsidRPr="008F5B90">
        <w:t>ärimaa puhul – 10% maa maksustamishinnast;</w:t>
      </w:r>
    </w:p>
    <w:p w:rsidR="00BE2990" w:rsidRPr="008F5B90" w:rsidRDefault="00BE2990" w:rsidP="00BE2990">
      <w:pPr>
        <w:widowControl w:val="0"/>
        <w:numPr>
          <w:ilvl w:val="0"/>
          <w:numId w:val="1"/>
        </w:numPr>
      </w:pPr>
      <w:r w:rsidRPr="008F5B90">
        <w:t>tootmis- või transpordimaa puhul - 8%  maa maksustamishinnast;</w:t>
      </w:r>
    </w:p>
    <w:p w:rsidR="00BE2990" w:rsidRPr="008F5B90" w:rsidRDefault="00BE2990" w:rsidP="00BE2990">
      <w:pPr>
        <w:widowControl w:val="0"/>
        <w:numPr>
          <w:ilvl w:val="0"/>
          <w:numId w:val="1"/>
        </w:numPr>
      </w:pPr>
      <w:r w:rsidRPr="008F5B90">
        <w:t>muude katastriüksuse sihtotstarvete puhul - 5% maa maksustamishinnast;</w:t>
      </w:r>
    </w:p>
    <w:p w:rsidR="00BE2990" w:rsidRPr="008F5B90" w:rsidRDefault="00BE2990" w:rsidP="00BE2990">
      <w:pPr>
        <w:widowControl w:val="0"/>
        <w:ind w:left="720"/>
      </w:pPr>
    </w:p>
    <w:p w:rsidR="00BE2990" w:rsidRPr="008F5B90" w:rsidRDefault="008F5B90" w:rsidP="008F5B90">
      <w:pPr>
        <w:widowControl w:val="0"/>
      </w:pPr>
      <w:r w:rsidRPr="008F5B90">
        <w:t>Sama paragrahvi  lõikes 3 toodud muudatus sätestab, et k</w:t>
      </w:r>
      <w:r w:rsidR="00BE2990" w:rsidRPr="008F5B90">
        <w:t>innisasjal  ehitiste olemasolul (hoonestatud kinnisasi)</w:t>
      </w:r>
      <w:r w:rsidR="00BE2990" w:rsidRPr="008F5B90">
        <w:rPr>
          <w:b/>
        </w:rPr>
        <w:t xml:space="preserve"> </w:t>
      </w:r>
      <w:r w:rsidR="00BE2990" w:rsidRPr="008F5B90">
        <w:t xml:space="preserve">arvestab hoonestusõiguse aastatasu suuruse ametiasutus hoonestusõiguse harilikust väärtusest lähtudes, lõpliku suuruse määrab aga linnavolikogu. Hoonestusõiguse  harilik  väärtus on  selle  kohalik keskmine müügihind (turuhind).  </w:t>
      </w:r>
    </w:p>
    <w:p w:rsidR="008F5B90" w:rsidRPr="008F5B90" w:rsidRDefault="008F5B90" w:rsidP="008F5B90">
      <w:pPr>
        <w:widowControl w:val="0"/>
        <w:rPr>
          <w:b/>
        </w:rPr>
      </w:pPr>
    </w:p>
    <w:p w:rsidR="001641BE" w:rsidRPr="008F5B90" w:rsidRDefault="008F5B90" w:rsidP="002452CA">
      <w:pPr>
        <w:pStyle w:val="BodyText"/>
        <w:spacing w:after="120"/>
      </w:pPr>
      <w:r w:rsidRPr="008F5B90">
        <w:t>Eelnõu § 51</w:t>
      </w:r>
      <w:r w:rsidR="001641BE" w:rsidRPr="008F5B90">
        <w:t xml:space="preserve"> lõikes 2 on kehtiva korraga võrreldes täpsustatud sanktsiooni ehitise mittesihtotstarbelise kasutamise eest. Eelnõu § 53 lõike 2 järgi on kinnisasja omanikul õigus nõuda hoonestajalt leppetrahvi 0,3% hoonestusõiguse aastatasust iga päeva eest, mil hoonestaja on rikkunud ehitise sihtotstarbelise kasutamise kohustust. </w:t>
      </w:r>
    </w:p>
    <w:p w:rsidR="001641BE" w:rsidRPr="008F5B90" w:rsidRDefault="008F5B90" w:rsidP="002452CA">
      <w:pPr>
        <w:pStyle w:val="BodyText"/>
        <w:spacing w:after="120"/>
      </w:pPr>
      <w:r w:rsidRPr="008F5B90">
        <w:t>Määruse eelnõu 5</w:t>
      </w:r>
      <w:r w:rsidR="001641BE" w:rsidRPr="008F5B90">
        <w:t>. peatükk (§</w:t>
      </w:r>
      <w:r w:rsidRPr="008F5B90">
        <w:t xml:space="preserve"> 60</w:t>
      </w:r>
      <w:r w:rsidR="001641BE" w:rsidRPr="008F5B90">
        <w:t>)  reguleerib investeeringuid lisatingimusena hoonestusõiguse seadmisel.  Investeeringuteks loetakse vara  parendamisele suunatud  kulutusi, sealhulgas kapitaalremondiks ja renoveerimiseks ning  sellel eesmärgil põhivara, seadmete, masinate, ehitiste, rajatiste ja tehnoloogiate soetamiseks, aga ka nende parendusteks, moderniseerimiseks ja kapitaalremondiks tehtud  kulutusi.</w:t>
      </w:r>
    </w:p>
    <w:p w:rsidR="001641BE" w:rsidRPr="008F5B90" w:rsidRDefault="001641BE" w:rsidP="002452CA">
      <w:pPr>
        <w:pStyle w:val="BodyText"/>
        <w:spacing w:after="120"/>
      </w:pPr>
      <w:r w:rsidRPr="008F5B90">
        <w:t>Määruse eelnõu 6. peatükk (§</w:t>
      </w:r>
      <w:r w:rsidR="008F5B90" w:rsidRPr="008F5B90">
        <w:t xml:space="preserve"> 61</w:t>
      </w:r>
      <w:r w:rsidRPr="008F5B90">
        <w:t xml:space="preserve">)  reguleerib korra  rakendamist. </w:t>
      </w:r>
    </w:p>
    <w:p w:rsidR="001641BE" w:rsidRDefault="001641BE" w:rsidP="002452CA">
      <w:pPr>
        <w:pStyle w:val="BodyText"/>
        <w:spacing w:after="120"/>
      </w:pPr>
      <w:r>
        <w:t xml:space="preserve">Määruse eelnõu aluseks on </w:t>
      </w:r>
      <w:hyperlink r:id="rId6" w:history="1">
        <w:r>
          <w:rPr>
            <w:rStyle w:val="Hyperlink"/>
          </w:rPr>
          <w:t>kohaliku omavalitsuse korralduse seaduse</w:t>
        </w:r>
      </w:hyperlink>
      <w:r>
        <w:t xml:space="preserve"> (edaspidi </w:t>
      </w:r>
      <w:r>
        <w:rPr>
          <w:i/>
        </w:rPr>
        <w:t>KOKS</w:t>
      </w:r>
      <w:r>
        <w:t xml:space="preserve">) § 22 lõike 1 punkt 6, mille kohaselt on linnavara valitsemise korra kehtestamine volikogu </w:t>
      </w:r>
      <w:r w:rsidRPr="008F5B90">
        <w:t>ainupädevuses, ja 6</w:t>
      </w:r>
      <w:r w:rsidRPr="008F5B90">
        <w:rPr>
          <w:vertAlign w:val="superscript"/>
        </w:rPr>
        <w:t>1</w:t>
      </w:r>
      <w:r w:rsidRPr="008F5B90">
        <w:t xml:space="preserve">, mille kohaselt on volikogu ainupädevuses kinnisasja koormamine, </w:t>
      </w:r>
      <w:r>
        <w:t xml:space="preserve">kinnisasja koormava hoonestusõiguse võõrandamiseks loa andmine ja kinnisasja koormamine piiratud asjaõigusega kohaliku omavalitsuse üksuse finantsjuhtimise seaduse § 37 lõikes 3 nimetatud tingimustel. </w:t>
      </w:r>
    </w:p>
    <w:p w:rsidR="001641BE" w:rsidRDefault="001641BE" w:rsidP="002452CA">
      <w:pPr>
        <w:pStyle w:val="BodyText"/>
        <w:spacing w:after="120"/>
      </w:pPr>
      <w:r>
        <w:t xml:space="preserve">Kohaliku omavalitsuse üksuse finantsjuhtimise seaduse § 37 lg 3 näeb ette, et kohaliku omavalitsuse üksus võib kooskõlas eelarvestrateegiaga </w:t>
      </w:r>
      <w:r>
        <w:rPr>
          <w:bCs/>
        </w:rPr>
        <w:t>enda või sõltuva üksuse võlakohustuse tagamiseks</w:t>
      </w:r>
      <w:r>
        <w:t xml:space="preserve">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1641BE" w:rsidRDefault="001641BE" w:rsidP="002452CA">
      <w:pPr>
        <w:pStyle w:val="BodyText"/>
        <w:spacing w:after="120"/>
      </w:pPr>
    </w:p>
    <w:p w:rsidR="001641BE" w:rsidRDefault="00DB0869" w:rsidP="00595367">
      <w:pPr>
        <w:pStyle w:val="BodyText"/>
      </w:pPr>
      <w:r>
        <w:rPr>
          <w:noProof/>
          <w:lang w:eastAsia="et-EE"/>
        </w:rPr>
        <mc:AlternateContent>
          <mc:Choice Requires="wps">
            <w:drawing>
              <wp:anchor distT="0" distB="0" distL="114300" distR="114300" simplePos="0" relativeHeight="251658240" behindDoc="0" locked="1" layoutInCell="0" allowOverlap="0">
                <wp:simplePos x="0" y="0"/>
                <wp:positionH relativeFrom="margin">
                  <wp:posOffset>-3810</wp:posOffset>
                </wp:positionH>
                <wp:positionV relativeFrom="margin">
                  <wp:posOffset>9512300</wp:posOffset>
                </wp:positionV>
                <wp:extent cx="5601335" cy="428625"/>
                <wp:effectExtent l="0" t="0" r="0" b="952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42862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641BE" w:rsidRDefault="001641BE" w:rsidP="00BE1758">
                            <w:pPr>
                              <w:pStyle w:val="BodyText"/>
                              <w:spacing w:after="120"/>
                            </w:pPr>
                            <w:r>
                              <w:t>Koostaja: Anna Pettšenko 35 99141,  Varade teenistus</w:t>
                            </w:r>
                          </w:p>
                          <w:p w:rsidR="001641BE" w:rsidRDefault="001641BE" w:rsidP="002452CA">
                            <w:pPr>
                              <w:pStyle w:val="BodyText"/>
                              <w:jc w:val="left"/>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pt;margin-top:749pt;width:441.05pt;height:3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" o:allowincell="f" o:allowoverlap="f" stroked="f">
                <v:textbox inset="0,0,0,0">
                  <w:txbxContent>
                    <w:p w:rsidR="001641BE" w:rsidRDefault="001641BE" w:rsidP="00BE1758">
                      <w:pPr>
                        <w:pStyle w:val="BodyText"/>
                        <w:spacing w:after="120"/>
                      </w:pPr>
                      <w:r>
                        <w:t>Koostaja: Anna Pettšenko 35 99141,  Varade teenistus</w:t>
                      </w:r>
                    </w:p>
                    <w:p w:rsidR="001641BE" w:rsidRDefault="001641BE" w:rsidP="002452CA">
                      <w:pPr>
                        <w:pStyle w:val="BodyText"/>
                        <w:jc w:val="left"/>
                        <w:rPr>
                          <w:szCs w:val="24"/>
                        </w:rPr>
                      </w:pPr>
                    </w:p>
                  </w:txbxContent>
                </v:textbox>
                <w10:wrap type="topAndBottom" anchorx="margin" anchory="margin"/>
                <w10:anchorlock/>
              </v:shape>
            </w:pict>
          </mc:Fallback>
        </mc:AlternateContent>
      </w:r>
      <w:r w:rsidR="001641BE">
        <w:t>Natalja Šibalova</w:t>
      </w:r>
    </w:p>
    <w:p w:rsidR="001641BE" w:rsidRDefault="001641BE" w:rsidP="008F5B90">
      <w:pPr>
        <w:pStyle w:val="BodyText"/>
      </w:pPr>
      <w:r>
        <w:t xml:space="preserve">Arhitektuuri– ja </w:t>
      </w:r>
      <w:r w:rsidR="008F5B90">
        <w:t>Linnaplaneerimise Ameti direktor</w:t>
      </w:r>
    </w:p>
    <w:sectPr w:rsidR="001641BE" w:rsidSect="009662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F0AE2"/>
    <w:multiLevelType w:val="hybridMultilevel"/>
    <w:tmpl w:val="E30CDEC0"/>
    <w:lvl w:ilvl="0" w:tplc="C3D8BE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2CA"/>
    <w:rsid w:val="000473D5"/>
    <w:rsid w:val="001641BE"/>
    <w:rsid w:val="00220256"/>
    <w:rsid w:val="002452CA"/>
    <w:rsid w:val="00593889"/>
    <w:rsid w:val="00595367"/>
    <w:rsid w:val="005D6426"/>
    <w:rsid w:val="00710F95"/>
    <w:rsid w:val="007A2F4B"/>
    <w:rsid w:val="008F5B90"/>
    <w:rsid w:val="009662BB"/>
    <w:rsid w:val="00966717"/>
    <w:rsid w:val="009C0B15"/>
    <w:rsid w:val="00BE0063"/>
    <w:rsid w:val="00BE1758"/>
    <w:rsid w:val="00BE2990"/>
    <w:rsid w:val="00C63AE0"/>
    <w:rsid w:val="00CB71B2"/>
    <w:rsid w:val="00D64DC2"/>
    <w:rsid w:val="00DB0869"/>
    <w:rsid w:val="00FF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2CA"/>
    <w:pPr>
      <w:jc w:val="both"/>
    </w:pPr>
    <w:rPr>
      <w:rFonts w:ascii="Times New Roman" w:eastAsia="Times New Roman" w:hAnsi="Times New Roman"/>
      <w:sz w:val="24"/>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2452CA"/>
    <w:rPr>
      <w:rFonts w:ascii="Times New Roman" w:hAnsi="Times New Roman" w:cs="Times New Roman"/>
      <w:color w:val="0000FF"/>
      <w:u w:val="single"/>
    </w:rPr>
  </w:style>
  <w:style w:type="paragraph" w:styleId="BodyText">
    <w:name w:val="Body Text"/>
    <w:basedOn w:val="Normal"/>
    <w:link w:val="BodyTextChar"/>
    <w:uiPriority w:val="99"/>
    <w:semiHidden/>
    <w:rsid w:val="002452CA"/>
  </w:style>
  <w:style w:type="character" w:customStyle="1" w:styleId="BodyTextChar">
    <w:name w:val="Body Text Char"/>
    <w:basedOn w:val="DefaultParagraphFont"/>
    <w:link w:val="BodyText"/>
    <w:uiPriority w:val="99"/>
    <w:semiHidden/>
    <w:locked/>
    <w:rsid w:val="002452CA"/>
    <w:rPr>
      <w:rFonts w:ascii="Times New Roman" w:hAnsi="Times New Roman" w:cs="Times New Roman"/>
      <w:sz w:val="20"/>
      <w:szCs w:val="20"/>
    </w:rPr>
  </w:style>
  <w:style w:type="paragraph" w:customStyle="1" w:styleId="Sisu">
    <w:name w:val="Sisu"/>
    <w:basedOn w:val="BodyText"/>
    <w:uiPriority w:val="99"/>
    <w:rsid w:val="002452CA"/>
    <w:pPr>
      <w:spacing w:after="120"/>
    </w:pPr>
    <w:rPr>
      <w:b/>
      <w:bCs/>
    </w:rPr>
  </w:style>
  <w:style w:type="paragraph" w:customStyle="1" w:styleId="juurde">
    <w:name w:val="juurde"/>
    <w:basedOn w:val="BodyText"/>
    <w:next w:val="Normal"/>
    <w:uiPriority w:val="99"/>
    <w:rsid w:val="002452CA"/>
    <w:pPr>
      <w:tabs>
        <w:tab w:val="left" w:pos="4589"/>
      </w:tabs>
      <w:spacing w:after="480"/>
      <w:ind w:right="4820"/>
      <w:jc w:val="left"/>
    </w:pPr>
  </w:style>
  <w:style w:type="paragraph" w:customStyle="1" w:styleId="Tekst">
    <w:name w:val="Tekst"/>
    <w:basedOn w:val="BodyText"/>
    <w:uiPriority w:val="99"/>
    <w:rsid w:val="002452CA"/>
    <w:pPr>
      <w:tabs>
        <w:tab w:val="left" w:pos="6521"/>
      </w:tabs>
      <w:spacing w:after="120"/>
    </w:pPr>
  </w:style>
  <w:style w:type="paragraph" w:customStyle="1" w:styleId="Nimi">
    <w:name w:val="Nimi"/>
    <w:basedOn w:val="BodyText"/>
    <w:next w:val="Normal"/>
    <w:uiPriority w:val="99"/>
    <w:rsid w:val="002452CA"/>
    <w:pPr>
      <w:tabs>
        <w:tab w:val="left" w:pos="6521"/>
      </w:tabs>
      <w:spacing w:before="9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2CA"/>
    <w:pPr>
      <w:jc w:val="both"/>
    </w:pPr>
    <w:rPr>
      <w:rFonts w:ascii="Times New Roman" w:eastAsia="Times New Roman" w:hAnsi="Times New Roman"/>
      <w:sz w:val="24"/>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2452CA"/>
    <w:rPr>
      <w:rFonts w:ascii="Times New Roman" w:hAnsi="Times New Roman" w:cs="Times New Roman"/>
      <w:color w:val="0000FF"/>
      <w:u w:val="single"/>
    </w:rPr>
  </w:style>
  <w:style w:type="paragraph" w:styleId="BodyText">
    <w:name w:val="Body Text"/>
    <w:basedOn w:val="Normal"/>
    <w:link w:val="BodyTextChar"/>
    <w:uiPriority w:val="99"/>
    <w:semiHidden/>
    <w:rsid w:val="002452CA"/>
  </w:style>
  <w:style w:type="character" w:customStyle="1" w:styleId="BodyTextChar">
    <w:name w:val="Body Text Char"/>
    <w:basedOn w:val="DefaultParagraphFont"/>
    <w:link w:val="BodyText"/>
    <w:uiPriority w:val="99"/>
    <w:semiHidden/>
    <w:locked/>
    <w:rsid w:val="002452CA"/>
    <w:rPr>
      <w:rFonts w:ascii="Times New Roman" w:hAnsi="Times New Roman" w:cs="Times New Roman"/>
      <w:sz w:val="20"/>
      <w:szCs w:val="20"/>
    </w:rPr>
  </w:style>
  <w:style w:type="paragraph" w:customStyle="1" w:styleId="Sisu">
    <w:name w:val="Sisu"/>
    <w:basedOn w:val="BodyText"/>
    <w:uiPriority w:val="99"/>
    <w:rsid w:val="002452CA"/>
    <w:pPr>
      <w:spacing w:after="120"/>
    </w:pPr>
    <w:rPr>
      <w:b/>
      <w:bCs/>
    </w:rPr>
  </w:style>
  <w:style w:type="paragraph" w:customStyle="1" w:styleId="juurde">
    <w:name w:val="juurde"/>
    <w:basedOn w:val="BodyText"/>
    <w:next w:val="Normal"/>
    <w:uiPriority w:val="99"/>
    <w:rsid w:val="002452CA"/>
    <w:pPr>
      <w:tabs>
        <w:tab w:val="left" w:pos="4589"/>
      </w:tabs>
      <w:spacing w:after="480"/>
      <w:ind w:right="4820"/>
      <w:jc w:val="left"/>
    </w:pPr>
  </w:style>
  <w:style w:type="paragraph" w:customStyle="1" w:styleId="Tekst">
    <w:name w:val="Tekst"/>
    <w:basedOn w:val="BodyText"/>
    <w:uiPriority w:val="99"/>
    <w:rsid w:val="002452CA"/>
    <w:pPr>
      <w:tabs>
        <w:tab w:val="left" w:pos="6521"/>
      </w:tabs>
      <w:spacing w:after="120"/>
    </w:pPr>
  </w:style>
  <w:style w:type="paragraph" w:customStyle="1" w:styleId="Nimi">
    <w:name w:val="Nimi"/>
    <w:basedOn w:val="BodyText"/>
    <w:next w:val="Normal"/>
    <w:uiPriority w:val="99"/>
    <w:rsid w:val="002452CA"/>
    <w:pPr>
      <w:tabs>
        <w:tab w:val="left" w:pos="6521"/>
      </w:tabs>
      <w:spacing w:before="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0992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18032011005?leiaKehti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954</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Seletuskiri</vt:lpstr>
    </vt:vector>
  </TitlesOfParts>
  <Company/>
  <LinksUpToDate>false</LinksUpToDate>
  <CharactersWithSpaces>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creator>Anna</dc:creator>
  <cp:lastModifiedBy>Anna</cp:lastModifiedBy>
  <cp:revision>2</cp:revision>
  <dcterms:created xsi:type="dcterms:W3CDTF">2015-06-02T10:16:00Z</dcterms:created>
  <dcterms:modified xsi:type="dcterms:W3CDTF">2015-06-02T10:16:00Z</dcterms:modified>
</cp:coreProperties>
</file>