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072"/>
      </w:tblGrid>
      <w:tr w:rsidR="00EA02CF" w:rsidRPr="0034255D" w:rsidTr="00D0702F">
        <w:trPr>
          <w:tblCellSpacing w:w="0" w:type="dxa"/>
        </w:trPr>
        <w:tc>
          <w:tcPr>
            <w:tcW w:w="5000" w:type="pct"/>
          </w:tcPr>
          <w:p w:rsidR="00EA02CF" w:rsidRPr="0034255D" w:rsidRDefault="00EA02CF" w:rsidP="00D0702F">
            <w:pPr>
              <w:pStyle w:val="NormalWeb"/>
              <w:tabs>
                <w:tab w:val="left" w:pos="6840"/>
              </w:tabs>
              <w:jc w:val="right"/>
              <w:rPr>
                <w:lang w:val="et-EE"/>
              </w:rPr>
            </w:pPr>
            <w:r w:rsidRPr="0034255D">
              <w:rPr>
                <w:lang w:val="et-EE"/>
              </w:rPr>
              <w:t xml:space="preserve">                                                                                                                                                                                                Eelnõu</w:t>
            </w:r>
          </w:p>
          <w:p w:rsidR="00EA02CF" w:rsidRPr="0034255D" w:rsidRDefault="00EA02CF" w:rsidP="00D0702F">
            <w:pPr>
              <w:pStyle w:val="NormalWeb"/>
              <w:tabs>
                <w:tab w:val="left" w:pos="6840"/>
              </w:tabs>
              <w:jc w:val="center"/>
              <w:rPr>
                <w:b/>
                <w:bCs/>
                <w:lang w:val="et-EE"/>
              </w:rPr>
            </w:pPr>
            <w:r w:rsidRPr="0034255D">
              <w:rPr>
                <w:b/>
                <w:bCs/>
                <w:lang w:val="et-EE"/>
              </w:rPr>
              <w:t>NARVA LINNAVALITSUS</w:t>
            </w:r>
          </w:p>
        </w:tc>
      </w:tr>
    </w:tbl>
    <w:p w:rsidR="00EA02CF" w:rsidRPr="0034255D" w:rsidRDefault="00EA02CF" w:rsidP="00EA02CF">
      <w:pPr>
        <w:pStyle w:val="NormalWeb"/>
        <w:jc w:val="center"/>
        <w:rPr>
          <w:lang w:val="et-EE"/>
        </w:rPr>
      </w:pPr>
      <w:r w:rsidRPr="0034255D">
        <w:rPr>
          <w:b/>
          <w:bCs/>
          <w:lang w:val="et-EE"/>
        </w:rPr>
        <w:t>KORRALDUS</w:t>
      </w:r>
      <w:r w:rsidRPr="0034255D">
        <w:rPr>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084"/>
        <w:gridCol w:w="5988"/>
      </w:tblGrid>
      <w:tr w:rsidR="00EA02CF" w:rsidRPr="0034255D" w:rsidTr="00D0702F">
        <w:trPr>
          <w:tblCellSpacing w:w="0" w:type="dxa"/>
        </w:trPr>
        <w:tc>
          <w:tcPr>
            <w:tcW w:w="1700" w:type="pct"/>
          </w:tcPr>
          <w:p w:rsidR="00EA02CF" w:rsidRPr="0034255D" w:rsidRDefault="00EA02CF" w:rsidP="00D0702F">
            <w:pPr>
              <w:rPr>
                <w:color w:val="000000"/>
                <w:lang w:val="et-EE"/>
              </w:rPr>
            </w:pPr>
            <w:r w:rsidRPr="0034255D">
              <w:rPr>
                <w:lang w:val="et-EE"/>
              </w:rPr>
              <w:t>Narva</w:t>
            </w:r>
          </w:p>
        </w:tc>
        <w:tc>
          <w:tcPr>
            <w:tcW w:w="3300" w:type="pct"/>
          </w:tcPr>
          <w:p w:rsidR="00EA02CF" w:rsidRPr="0034255D" w:rsidRDefault="00EA02CF" w:rsidP="00D0702F">
            <w:pPr>
              <w:jc w:val="center"/>
              <w:rPr>
                <w:color w:val="000000"/>
                <w:lang w:val="et-EE"/>
              </w:rPr>
            </w:pPr>
            <w:r w:rsidRPr="0034255D">
              <w:rPr>
                <w:lang w:val="et-EE"/>
              </w:rPr>
              <w:t xml:space="preserve">                            </w:t>
            </w:r>
            <w:r>
              <w:rPr>
                <w:lang w:val="et-EE"/>
              </w:rPr>
              <w:t xml:space="preserve">                            </w:t>
            </w:r>
            <w:r w:rsidRPr="0034255D">
              <w:rPr>
                <w:lang w:val="et-EE"/>
              </w:rPr>
              <w:t xml:space="preserve"> </w:t>
            </w:r>
            <w:r>
              <w:rPr>
                <w:lang w:val="et-EE"/>
              </w:rPr>
              <w:t>……. 2021.</w:t>
            </w:r>
            <w:r w:rsidRPr="0034255D">
              <w:rPr>
                <w:lang w:val="et-EE"/>
              </w:rPr>
              <w:t xml:space="preserve">a. nr </w:t>
            </w:r>
          </w:p>
        </w:tc>
      </w:tr>
      <w:tr w:rsidR="00EA02CF" w:rsidRPr="0034255D" w:rsidTr="00D0702F">
        <w:trPr>
          <w:tblCellSpacing w:w="0" w:type="dxa"/>
        </w:trPr>
        <w:tc>
          <w:tcPr>
            <w:tcW w:w="1700" w:type="pct"/>
          </w:tcPr>
          <w:p w:rsidR="00EA02CF" w:rsidRPr="0034255D" w:rsidRDefault="00EA02CF" w:rsidP="00D0702F">
            <w:pPr>
              <w:rPr>
                <w:lang w:val="et-EE"/>
              </w:rPr>
            </w:pPr>
          </w:p>
        </w:tc>
        <w:tc>
          <w:tcPr>
            <w:tcW w:w="3300" w:type="pct"/>
          </w:tcPr>
          <w:p w:rsidR="00EA02CF" w:rsidRPr="0034255D" w:rsidRDefault="00EA02CF" w:rsidP="00D0702F">
            <w:pPr>
              <w:jc w:val="right"/>
              <w:rPr>
                <w:lang w:val="et-EE"/>
              </w:rPr>
            </w:pPr>
          </w:p>
        </w:tc>
      </w:tr>
    </w:tbl>
    <w:p w:rsidR="00EA02CF" w:rsidRPr="00B84C93" w:rsidRDefault="006306B2" w:rsidP="00EA02CF">
      <w:pPr>
        <w:pStyle w:val="Caption"/>
        <w:ind w:left="0"/>
        <w:jc w:val="both"/>
        <w:rPr>
          <w:sz w:val="24"/>
          <w:szCs w:val="24"/>
          <w:lang w:val="et-EE"/>
        </w:rPr>
      </w:pPr>
      <w:r>
        <w:rPr>
          <w:sz w:val="24"/>
          <w:szCs w:val="24"/>
          <w:lang w:val="et-EE"/>
        </w:rPr>
        <w:t>Ehitusloa andmine (Aleksander Puškini tn 29)</w:t>
      </w:r>
    </w:p>
    <w:p w:rsidR="00EA02CF" w:rsidRPr="00B84C93" w:rsidRDefault="00EA02CF" w:rsidP="00EA02CF">
      <w:pPr>
        <w:rPr>
          <w:lang w:val="et-EE"/>
        </w:rPr>
      </w:pPr>
    </w:p>
    <w:p w:rsidR="00EA02CF" w:rsidRPr="00B84C93" w:rsidRDefault="00EA02CF" w:rsidP="00EA02CF">
      <w:pPr>
        <w:numPr>
          <w:ilvl w:val="0"/>
          <w:numId w:val="1"/>
        </w:numPr>
        <w:tabs>
          <w:tab w:val="clear" w:pos="780"/>
          <w:tab w:val="num" w:pos="360"/>
        </w:tabs>
        <w:ind w:left="360"/>
        <w:rPr>
          <w:b/>
          <w:lang w:val="et-EE"/>
        </w:rPr>
      </w:pPr>
      <w:r w:rsidRPr="00B84C93">
        <w:rPr>
          <w:b/>
          <w:lang w:val="et-EE"/>
        </w:rPr>
        <w:t>ASJAOLUD JA MENETLUSE KÄIK</w:t>
      </w:r>
    </w:p>
    <w:p w:rsidR="006306B2" w:rsidRDefault="00EA02CF" w:rsidP="00EA02CF">
      <w:pPr>
        <w:jc w:val="both"/>
        <w:rPr>
          <w:lang w:val="et-EE"/>
        </w:rPr>
      </w:pPr>
      <w:r>
        <w:rPr>
          <w:lang w:val="et-EE"/>
        </w:rPr>
        <w:t>01</w:t>
      </w:r>
      <w:r w:rsidR="006306B2">
        <w:rPr>
          <w:lang w:val="et-EE"/>
        </w:rPr>
        <w:t>.12</w:t>
      </w:r>
      <w:r>
        <w:rPr>
          <w:lang w:val="et-EE"/>
        </w:rPr>
        <w:t>.2020</w:t>
      </w:r>
      <w:r w:rsidRPr="00B84C93">
        <w:rPr>
          <w:lang w:val="et-EE"/>
        </w:rPr>
        <w:t xml:space="preserve"> läbivaatamiseks laekus </w:t>
      </w:r>
      <w:r w:rsidR="006306B2" w:rsidRPr="006306B2">
        <w:rPr>
          <w:lang w:val="et-EE"/>
        </w:rPr>
        <w:t>Aleksander Puškini tn 29</w:t>
      </w:r>
      <w:r w:rsidR="006306B2">
        <w:rPr>
          <w:lang w:val="et-EE"/>
        </w:rPr>
        <w:t xml:space="preserve"> kinnistul asuva Kesklinna põhikoolihoone</w:t>
      </w:r>
      <w:r w:rsidR="003C0189">
        <w:rPr>
          <w:lang w:val="et-EE"/>
        </w:rPr>
        <w:t xml:space="preserve">, ehitisregistri kood </w:t>
      </w:r>
      <w:r w:rsidR="003C0189" w:rsidRPr="003C0189">
        <w:rPr>
          <w:lang w:val="et-EE"/>
        </w:rPr>
        <w:t>118010542</w:t>
      </w:r>
      <w:r w:rsidR="003C0189">
        <w:rPr>
          <w:lang w:val="et-EE"/>
        </w:rPr>
        <w:t>,</w:t>
      </w:r>
      <w:r w:rsidR="006306B2">
        <w:rPr>
          <w:lang w:val="et-EE"/>
        </w:rPr>
        <w:t xml:space="preserve"> laiendamiseks ning hoone</w:t>
      </w:r>
      <w:r w:rsidR="006D182D">
        <w:rPr>
          <w:lang w:val="et-EE"/>
        </w:rPr>
        <w:t>t</w:t>
      </w:r>
      <w:r w:rsidR="006306B2">
        <w:rPr>
          <w:lang w:val="et-EE"/>
        </w:rPr>
        <w:t xml:space="preserve"> teenindavate rajatiste ehitamiseks ehitusloa taotlus nr .</w:t>
      </w:r>
      <w:r w:rsidR="006306B2" w:rsidRPr="006306B2">
        <w:rPr>
          <w:lang w:val="et-EE"/>
        </w:rPr>
        <w:t xml:space="preserve"> 2011271/30486</w:t>
      </w:r>
      <w:r w:rsidR="006306B2">
        <w:rPr>
          <w:lang w:val="et-EE"/>
        </w:rPr>
        <w:t xml:space="preserve"> koos ehitusprojektiga „</w:t>
      </w:r>
      <w:r w:rsidR="006306B2" w:rsidRPr="006306B2">
        <w:rPr>
          <w:lang w:val="et-EE"/>
        </w:rPr>
        <w:t>Narva Kesklinna Põ</w:t>
      </w:r>
      <w:r w:rsidR="006306B2">
        <w:rPr>
          <w:lang w:val="et-EE"/>
        </w:rPr>
        <w:t xml:space="preserve">hikool NARKP_EP_11-02-2021“, </w:t>
      </w:r>
      <w:proofErr w:type="spellStart"/>
      <w:r w:rsidR="006306B2">
        <w:rPr>
          <w:lang w:val="et-EE"/>
        </w:rPr>
        <w:t>projekteerija</w:t>
      </w:r>
      <w:proofErr w:type="spellEnd"/>
      <w:r w:rsidR="006306B2">
        <w:rPr>
          <w:lang w:val="et-EE"/>
        </w:rPr>
        <w:t xml:space="preserve"> OÜ Salto Arhitektuuribüroo</w:t>
      </w:r>
    </w:p>
    <w:p w:rsidR="006306B2" w:rsidRDefault="006306B2" w:rsidP="00EA02CF">
      <w:pPr>
        <w:jc w:val="both"/>
        <w:rPr>
          <w:lang w:val="et-EE"/>
        </w:rPr>
      </w:pPr>
    </w:p>
    <w:p w:rsidR="006306B2" w:rsidRDefault="006306B2" w:rsidP="006306B2">
      <w:pPr>
        <w:jc w:val="both"/>
        <w:rPr>
          <w:lang w:val="et-EE"/>
        </w:rPr>
      </w:pPr>
      <w:r>
        <w:rPr>
          <w:lang w:val="et-EE"/>
        </w:rPr>
        <w:t>03.12</w:t>
      </w:r>
      <w:r w:rsidRPr="003F4BD4">
        <w:rPr>
          <w:lang w:val="et-EE"/>
        </w:rPr>
        <w:t>.202</w:t>
      </w:r>
      <w:r>
        <w:rPr>
          <w:lang w:val="et-EE"/>
        </w:rPr>
        <w:t>0</w:t>
      </w:r>
      <w:r w:rsidRPr="003F4BD4">
        <w:rPr>
          <w:lang w:val="et-EE"/>
        </w:rPr>
        <w:t xml:space="preserve"> ehitisregistri  keskkonnas on genereeritud ehitusloa  eelnõu  </w:t>
      </w:r>
      <w:r>
        <w:rPr>
          <w:lang w:val="et-EE"/>
        </w:rPr>
        <w:t xml:space="preserve">nr </w:t>
      </w:r>
      <w:r w:rsidR="00620CF1" w:rsidRPr="00620CF1">
        <w:rPr>
          <w:lang w:val="et-EE"/>
        </w:rPr>
        <w:t>2012271/41355</w:t>
      </w:r>
      <w:r w:rsidRPr="003F4BD4">
        <w:rPr>
          <w:lang w:val="et-EE"/>
        </w:rPr>
        <w:t xml:space="preserve">, menetluse nr </w:t>
      </w:r>
      <w:r w:rsidR="00620CF1">
        <w:rPr>
          <w:lang w:val="et-EE"/>
        </w:rPr>
        <w:t>240179</w:t>
      </w:r>
      <w:r w:rsidRPr="003F4BD4">
        <w:rPr>
          <w:lang w:val="et-EE"/>
        </w:rPr>
        <w:t xml:space="preserve"> ning suunatud Arhitektuuri- ja Linnaplaneerimise Ametile, </w:t>
      </w:r>
      <w:r>
        <w:rPr>
          <w:lang w:val="et-EE"/>
        </w:rPr>
        <w:t>Linnamajandusametile</w:t>
      </w:r>
      <w:r w:rsidR="00620CF1">
        <w:rPr>
          <w:lang w:val="et-EE"/>
        </w:rPr>
        <w:t xml:space="preserve">, Narva Linna Arenduse ja Ökonoomika Ametile, Kultuuriosakonnale, Terviseameti Ida regionaalosakonnale, Päästeameti Ida päästekeskusele, OÜ-le VKG Elektrivõrgud, </w:t>
      </w:r>
      <w:proofErr w:type="spellStart"/>
      <w:r w:rsidR="00620CF1">
        <w:rPr>
          <w:lang w:val="et-EE"/>
        </w:rPr>
        <w:t>AS-le</w:t>
      </w:r>
      <w:proofErr w:type="spellEnd"/>
      <w:r w:rsidR="00620CF1">
        <w:rPr>
          <w:lang w:val="et-EE"/>
        </w:rPr>
        <w:t xml:space="preserve"> Narva Soojusvõrk, </w:t>
      </w:r>
      <w:proofErr w:type="spellStart"/>
      <w:r w:rsidR="00620CF1">
        <w:rPr>
          <w:lang w:val="et-EE"/>
        </w:rPr>
        <w:t>AS-le</w:t>
      </w:r>
      <w:proofErr w:type="spellEnd"/>
      <w:r w:rsidR="00620CF1">
        <w:rPr>
          <w:lang w:val="et-EE"/>
        </w:rPr>
        <w:t xml:space="preserve"> Narva Vesi,</w:t>
      </w:r>
      <w:r>
        <w:rPr>
          <w:lang w:val="et-EE"/>
        </w:rPr>
        <w:t xml:space="preserve"> </w:t>
      </w:r>
      <w:proofErr w:type="spellStart"/>
      <w:r w:rsidR="00620CF1">
        <w:rPr>
          <w:lang w:val="et-EE"/>
        </w:rPr>
        <w:t>AS-le</w:t>
      </w:r>
      <w:proofErr w:type="spellEnd"/>
      <w:r w:rsidR="00620CF1">
        <w:rPr>
          <w:lang w:val="et-EE"/>
        </w:rPr>
        <w:t xml:space="preserve"> Telia Eesti </w:t>
      </w:r>
      <w:r w:rsidRPr="003F4BD4">
        <w:rPr>
          <w:lang w:val="et-EE"/>
        </w:rPr>
        <w:t>kooskõlastamiseks ning arvamuste avaldamiseks.</w:t>
      </w:r>
    </w:p>
    <w:p w:rsidR="006306B2" w:rsidRPr="003F4BD4" w:rsidRDefault="006306B2" w:rsidP="006306B2">
      <w:pPr>
        <w:jc w:val="both"/>
        <w:rPr>
          <w:lang w:val="et-EE"/>
        </w:rPr>
      </w:pPr>
    </w:p>
    <w:p w:rsidR="00620CF1" w:rsidRPr="00620CF1" w:rsidRDefault="00620CF1" w:rsidP="00620CF1">
      <w:pPr>
        <w:jc w:val="both"/>
        <w:rPr>
          <w:lang w:val="et-EE"/>
        </w:rPr>
      </w:pPr>
      <w:r w:rsidRPr="00620CF1">
        <w:rPr>
          <w:lang w:val="et-EE"/>
        </w:rPr>
        <w:t>Ehitusloa menetlus toimus ehitisregistri elektroonilises keskkonnas. Ehitusprojektis  on avastatud puuduseid ning ehitisregistri elektroonilise keskkonna kaudu ehitusloa taotlus on tagastatud puuduste kõrvaldamiseks.</w:t>
      </w:r>
    </w:p>
    <w:p w:rsidR="00620CF1" w:rsidRPr="00620CF1" w:rsidRDefault="00620CF1" w:rsidP="00620CF1">
      <w:pPr>
        <w:jc w:val="both"/>
        <w:rPr>
          <w:lang w:val="et-EE"/>
        </w:rPr>
      </w:pPr>
    </w:p>
    <w:p w:rsidR="006306B2" w:rsidRDefault="00A46522" w:rsidP="00620CF1">
      <w:pPr>
        <w:jc w:val="both"/>
        <w:rPr>
          <w:lang w:val="et-EE"/>
        </w:rPr>
      </w:pPr>
      <w:r>
        <w:rPr>
          <w:lang w:val="et-EE"/>
        </w:rPr>
        <w:t>11.0</w:t>
      </w:r>
      <w:r w:rsidR="00620CF1">
        <w:rPr>
          <w:lang w:val="et-EE"/>
        </w:rPr>
        <w:t>2.2021</w:t>
      </w:r>
      <w:r w:rsidR="00620CF1" w:rsidRPr="00620CF1">
        <w:rPr>
          <w:lang w:val="et-EE"/>
        </w:rPr>
        <w:t xml:space="preserve"> ehitisregistri elektroonilisse keskkonda kõrvaldatud puudustega kasutusloa taotlus nr   </w:t>
      </w:r>
      <w:r w:rsidR="00620CF1">
        <w:rPr>
          <w:lang w:val="et-EE"/>
        </w:rPr>
        <w:t xml:space="preserve">2011271/30486-3 </w:t>
      </w:r>
      <w:r w:rsidR="00620CF1" w:rsidRPr="00620CF1">
        <w:rPr>
          <w:lang w:val="et-EE"/>
        </w:rPr>
        <w:t>laekus edaspidiseks menetlemiseks. On genereeritud uus kasutusloa eelnõu nr   2012271/41355</w:t>
      </w:r>
      <w:r w:rsidR="00620CF1">
        <w:rPr>
          <w:lang w:val="et-EE"/>
        </w:rPr>
        <w:t>-3</w:t>
      </w:r>
      <w:r w:rsidR="00620CF1" w:rsidRPr="00620CF1">
        <w:rPr>
          <w:lang w:val="et-EE"/>
        </w:rPr>
        <w:t>.</w:t>
      </w:r>
    </w:p>
    <w:p w:rsidR="00620CF1" w:rsidRPr="002D6DE1" w:rsidRDefault="00620CF1" w:rsidP="00620CF1">
      <w:pPr>
        <w:jc w:val="both"/>
        <w:rPr>
          <w:lang w:val="et-EE"/>
        </w:rPr>
      </w:pPr>
      <w:r>
        <w:rPr>
          <w:lang w:val="et-EE"/>
        </w:rPr>
        <w:t>16.02.2021</w:t>
      </w:r>
      <w:r w:rsidRPr="00620CF1">
        <w:rPr>
          <w:lang w:val="et-EE"/>
        </w:rPr>
        <w:t xml:space="preserve"> kõik kaasatud isikud kooskõlastasid ehitusloa eelnõu.</w:t>
      </w:r>
    </w:p>
    <w:p w:rsidR="00EA02CF" w:rsidRDefault="00EA02CF" w:rsidP="00EA02CF">
      <w:pPr>
        <w:jc w:val="both"/>
        <w:rPr>
          <w:bCs/>
          <w:lang w:val="et-EE"/>
        </w:rPr>
      </w:pPr>
    </w:p>
    <w:p w:rsidR="00294E36" w:rsidRDefault="007311E8" w:rsidP="00EA02CF">
      <w:pPr>
        <w:jc w:val="both"/>
        <w:rPr>
          <w:bCs/>
          <w:lang w:val="et-EE"/>
        </w:rPr>
      </w:pPr>
      <w:r>
        <w:rPr>
          <w:bCs/>
          <w:lang w:val="et-EE"/>
        </w:rPr>
        <w:t>1.</w:t>
      </w:r>
      <w:r w:rsidR="00EA02CF" w:rsidRPr="00E00356">
        <w:rPr>
          <w:bCs/>
          <w:lang w:val="et-EE"/>
        </w:rPr>
        <w:t>Arhitektuuri- ja Linnaplaneerimise Amet</w:t>
      </w:r>
      <w:r w:rsidR="00620CF1">
        <w:rPr>
          <w:bCs/>
          <w:lang w:val="et-EE"/>
        </w:rPr>
        <w:t>i</w:t>
      </w:r>
      <w:r w:rsidR="00294E36">
        <w:rPr>
          <w:bCs/>
          <w:lang w:val="et-EE"/>
        </w:rPr>
        <w:t>:</w:t>
      </w:r>
    </w:p>
    <w:p w:rsidR="00294E36" w:rsidRDefault="00294E36" w:rsidP="00EA02CF">
      <w:pPr>
        <w:jc w:val="both"/>
        <w:rPr>
          <w:bCs/>
          <w:lang w:val="et-EE"/>
        </w:rPr>
      </w:pPr>
      <w:r>
        <w:rPr>
          <w:bCs/>
          <w:lang w:val="et-EE"/>
        </w:rPr>
        <w:t>1</w:t>
      </w:r>
      <w:r w:rsidRPr="00294E36">
        <w:rPr>
          <w:bCs/>
          <w:lang w:val="et-EE"/>
        </w:rPr>
        <w:t>.</w:t>
      </w:r>
      <w:r w:rsidR="007311E8">
        <w:rPr>
          <w:bCs/>
          <w:lang w:val="et-EE"/>
        </w:rPr>
        <w:t xml:space="preserve">1. </w:t>
      </w:r>
      <w:r w:rsidR="006D182D">
        <w:rPr>
          <w:bCs/>
          <w:lang w:val="et-EE"/>
        </w:rPr>
        <w:t>d</w:t>
      </w:r>
      <w:r w:rsidRPr="00294E36">
        <w:rPr>
          <w:bCs/>
          <w:lang w:val="et-EE"/>
        </w:rPr>
        <w:t>irektor kooskõlastas „tingimisi“ märkusega:</w:t>
      </w:r>
      <w:r w:rsidR="003C0189">
        <w:rPr>
          <w:bCs/>
          <w:lang w:val="et-EE"/>
        </w:rPr>
        <w:t xml:space="preserve"> „</w:t>
      </w:r>
      <w:r w:rsidR="003C0189" w:rsidRPr="003C0189">
        <w:rPr>
          <w:bCs/>
          <w:lang w:val="et-EE"/>
        </w:rPr>
        <w:t>„Ehitamise alustamise teatis“ esitamisel esitada "Ehitustööde organiseerimise plaan". Plaani koostamisel tu</w:t>
      </w:r>
      <w:bookmarkStart w:id="0" w:name="_GoBack"/>
      <w:bookmarkEnd w:id="0"/>
      <w:r w:rsidR="003C0189" w:rsidRPr="003C0189">
        <w:rPr>
          <w:bCs/>
          <w:lang w:val="et-EE"/>
        </w:rPr>
        <w:t>leb teha koostööd kõikide ehitamist puudutavate maa omanikega. Teatise esitamisel peab olema lisatud eraldi dokumendina tõendatud koostöö.</w:t>
      </w:r>
      <w:r w:rsidR="003C0189">
        <w:rPr>
          <w:bCs/>
          <w:lang w:val="et-EE"/>
        </w:rPr>
        <w:t>“</w:t>
      </w:r>
    </w:p>
    <w:p w:rsidR="00EA02CF" w:rsidRPr="00F21F21" w:rsidRDefault="007311E8" w:rsidP="00EA02CF">
      <w:pPr>
        <w:jc w:val="both"/>
        <w:rPr>
          <w:bCs/>
          <w:lang w:val="et-EE"/>
        </w:rPr>
      </w:pPr>
      <w:r>
        <w:rPr>
          <w:bCs/>
          <w:lang w:val="et-EE"/>
        </w:rPr>
        <w:t>1.</w:t>
      </w:r>
      <w:r w:rsidR="00294E36">
        <w:rPr>
          <w:bCs/>
          <w:lang w:val="et-EE"/>
        </w:rPr>
        <w:t>2.</w:t>
      </w:r>
      <w:r w:rsidR="00620CF1">
        <w:rPr>
          <w:bCs/>
          <w:lang w:val="et-EE"/>
        </w:rPr>
        <w:t xml:space="preserve"> keskkonnamõju hindamise vanemspetsialist otsustas, et</w:t>
      </w:r>
      <w:r w:rsidR="00EA02CF">
        <w:rPr>
          <w:bCs/>
          <w:lang w:val="et-EE"/>
        </w:rPr>
        <w:t>:</w:t>
      </w:r>
      <w:r w:rsidR="00294E36">
        <w:rPr>
          <w:bCs/>
          <w:lang w:val="et-EE"/>
        </w:rPr>
        <w:t xml:space="preserve"> </w:t>
      </w:r>
      <w:r w:rsidR="00EA02CF">
        <w:rPr>
          <w:bCs/>
          <w:lang w:val="et-EE"/>
        </w:rPr>
        <w:t>„</w:t>
      </w:r>
      <w:r w:rsidR="00EA02CF" w:rsidRPr="00F21F21">
        <w:rPr>
          <w:bCs/>
          <w:lang w:val="et-EE"/>
        </w:rPr>
        <w:t xml:space="preserve">Kavandatav tegevus ei kuulu </w:t>
      </w:r>
      <w:proofErr w:type="spellStart"/>
      <w:r w:rsidR="00EA02CF" w:rsidRPr="00F21F21">
        <w:rPr>
          <w:bCs/>
          <w:lang w:val="et-EE"/>
        </w:rPr>
        <w:t>KeHJS</w:t>
      </w:r>
      <w:proofErr w:type="spellEnd"/>
      <w:r w:rsidR="00EA02CF" w:rsidRPr="00F21F21">
        <w:rPr>
          <w:bCs/>
          <w:lang w:val="et-EE"/>
        </w:rPr>
        <w:t xml:space="preserve"> § 6 lg 1 nimetatud tegevuste nimistusse, mille korral keskkonnamõju hindamise (KMH) läbiviimine on kohustuslik. Kui kavandatav tegevus ei kuulu </w:t>
      </w:r>
      <w:proofErr w:type="spellStart"/>
      <w:r w:rsidR="00EA02CF" w:rsidRPr="00F21F21">
        <w:rPr>
          <w:bCs/>
          <w:lang w:val="et-EE"/>
        </w:rPr>
        <w:t>KeHJS</w:t>
      </w:r>
      <w:proofErr w:type="spellEnd"/>
      <w:r w:rsidR="00EA02CF" w:rsidRPr="00F21F21">
        <w:rPr>
          <w:bCs/>
          <w:lang w:val="et-EE"/>
        </w:rPr>
        <w:t xml:space="preserve"> § 6 lg 1 nimetatute hulka, peab otsustaja selgitama välja, kas kavandatav tegevus kuulub </w:t>
      </w:r>
      <w:proofErr w:type="spellStart"/>
      <w:r w:rsidR="00EA02CF" w:rsidRPr="00F21F21">
        <w:rPr>
          <w:bCs/>
          <w:lang w:val="et-EE"/>
        </w:rPr>
        <w:t>KeHJS</w:t>
      </w:r>
      <w:proofErr w:type="spellEnd"/>
      <w:r w:rsidR="00EA02CF" w:rsidRPr="00F21F21">
        <w:rPr>
          <w:bCs/>
          <w:lang w:val="et-EE"/>
        </w:rPr>
        <w:t xml:space="preserve"> § 6 lg 2 nimetatud valdkondade hulka ja on loetletud Vabariigi Valitsuse 29.08.2005 määruses nr 224 „Tegevusvaldkondade, mille korral tuleb anda keskkonnamõju hindamise vajalikkuse eelhinnang, täpsustatud loetelu“ või on tegemist </w:t>
      </w:r>
      <w:proofErr w:type="spellStart"/>
      <w:r w:rsidR="00EA02CF" w:rsidRPr="00F21F21">
        <w:rPr>
          <w:bCs/>
          <w:lang w:val="et-EE"/>
        </w:rPr>
        <w:t>KeHJS</w:t>
      </w:r>
      <w:proofErr w:type="spellEnd"/>
      <w:r w:rsidR="00EA02CF" w:rsidRPr="00F21F21">
        <w:rPr>
          <w:bCs/>
          <w:lang w:val="et-EE"/>
        </w:rPr>
        <w:t xml:space="preserve"> § 6 lg 2´1 tegevusega.</w:t>
      </w:r>
    </w:p>
    <w:p w:rsidR="00EA02CF" w:rsidRDefault="00EA02CF" w:rsidP="00EA02CF">
      <w:pPr>
        <w:jc w:val="both"/>
        <w:rPr>
          <w:bCs/>
          <w:lang w:val="et-EE"/>
        </w:rPr>
      </w:pPr>
      <w:r w:rsidRPr="00F21F21">
        <w:rPr>
          <w:bCs/>
          <w:lang w:val="et-EE"/>
        </w:rPr>
        <w:t xml:space="preserve">Antud juhul kuulub kavandatav tegevus </w:t>
      </w:r>
      <w:proofErr w:type="spellStart"/>
      <w:r w:rsidRPr="00F21F21">
        <w:rPr>
          <w:bCs/>
          <w:lang w:val="et-EE"/>
        </w:rPr>
        <w:t>KeHJS</w:t>
      </w:r>
      <w:proofErr w:type="spellEnd"/>
      <w:r w:rsidRPr="00F21F21">
        <w:rPr>
          <w:bCs/>
          <w:lang w:val="et-EE"/>
        </w:rPr>
        <w:t xml:space="preserve"> § 6 lg 2 p 10 mainitud valdkonda. Samas ei ole kavandatavat tegevust nimetatud Vabariigi Valitsuse 29.08.2005 määruses nr 224 „Tegevusvaldkondade, mille korral tuleb anda keskkonnamõju hindamise vajalikkuse eelhinnang, täpsustatud loetelu“ (ei kuulu nimetatud määruse nr 224 § 13 p 8 tee rajamine või laiendamine, sest tegemist on tee ümberehitamise ning pöörderadade ja ülekäigukohtade ehitamisega), ning seetõttu eelhinnangut vastavalt </w:t>
      </w:r>
      <w:proofErr w:type="spellStart"/>
      <w:r w:rsidRPr="00F21F21">
        <w:rPr>
          <w:bCs/>
          <w:lang w:val="et-EE"/>
        </w:rPr>
        <w:t>KeHJS</w:t>
      </w:r>
      <w:proofErr w:type="spellEnd"/>
      <w:r w:rsidRPr="00F21F21">
        <w:rPr>
          <w:bCs/>
          <w:lang w:val="et-EE"/>
        </w:rPr>
        <w:t xml:space="preserve"> § 6 lg 2´3 ei anta</w:t>
      </w:r>
      <w:r>
        <w:rPr>
          <w:bCs/>
          <w:lang w:val="et-EE"/>
        </w:rPr>
        <w:t>“</w:t>
      </w:r>
      <w:r w:rsidRPr="00F21F21">
        <w:rPr>
          <w:bCs/>
          <w:lang w:val="et-EE"/>
        </w:rPr>
        <w:t>.</w:t>
      </w:r>
    </w:p>
    <w:p w:rsidR="00294E36" w:rsidRDefault="007311E8" w:rsidP="00EA02CF">
      <w:pPr>
        <w:jc w:val="both"/>
        <w:rPr>
          <w:bCs/>
          <w:lang w:val="et-EE"/>
        </w:rPr>
      </w:pPr>
      <w:r>
        <w:rPr>
          <w:bCs/>
          <w:lang w:val="et-EE"/>
        </w:rPr>
        <w:t>1.</w:t>
      </w:r>
      <w:r w:rsidR="00294E36">
        <w:rPr>
          <w:bCs/>
          <w:lang w:val="et-EE"/>
        </w:rPr>
        <w:t>3.</w:t>
      </w:r>
      <w:r>
        <w:rPr>
          <w:bCs/>
          <w:lang w:val="et-EE"/>
        </w:rPr>
        <w:t xml:space="preserve"> </w:t>
      </w:r>
      <w:r w:rsidR="006D182D">
        <w:rPr>
          <w:bCs/>
          <w:lang w:val="et-EE"/>
        </w:rPr>
        <w:t>j</w:t>
      </w:r>
      <w:r w:rsidR="00294E36">
        <w:rPr>
          <w:bCs/>
          <w:lang w:val="et-EE"/>
        </w:rPr>
        <w:t xml:space="preserve">ärelevalve osakond  </w:t>
      </w:r>
      <w:r w:rsidR="00294E36" w:rsidRPr="00294E36">
        <w:rPr>
          <w:bCs/>
          <w:lang w:val="et-EE"/>
        </w:rPr>
        <w:t>kooskõlastas „tingimisi“ märkusega:</w:t>
      </w:r>
      <w:r w:rsidR="00513CC0">
        <w:rPr>
          <w:bCs/>
          <w:lang w:val="et-EE"/>
        </w:rPr>
        <w:t xml:space="preserve"> „</w:t>
      </w:r>
      <w:r w:rsidR="00513CC0" w:rsidRPr="00513CC0">
        <w:rPr>
          <w:bCs/>
          <w:lang w:val="et-EE"/>
        </w:rPr>
        <w:t xml:space="preserve">"Koos ehitamise alustamise teatisega esitada ehitisregistrisse tellijaga ning naaberkinnistu omanikega </w:t>
      </w:r>
      <w:r w:rsidR="00513CC0" w:rsidRPr="00475808">
        <w:rPr>
          <w:bCs/>
          <w:lang w:val="et-EE"/>
        </w:rPr>
        <w:t xml:space="preserve">ehitustööde kooskõlastatud organiseerimise kava, milles on määratud vähemalt ehitustööde teostamise </w:t>
      </w:r>
      <w:r w:rsidR="00513CC0" w:rsidRPr="00513CC0">
        <w:rPr>
          <w:bCs/>
          <w:lang w:val="et-EE"/>
        </w:rPr>
        <w:lastRenderedPageBreak/>
        <w:t xml:space="preserve">meetodid, ehitusplatsi piirdeaia asukoht ning ehitustööde teostamise ajaks liikluskorraldus (EVS 932:2017). Samuti ehitustööde käigus tuleb järgida kehtiva Narva linna heakorra eeskirja § 9 sätestatud nõuded. Ehitustööde läbiviimisel ei tohi rikkuda teistele isikutele kuuluvaid asjaõigusi. </w:t>
      </w:r>
      <w:proofErr w:type="spellStart"/>
      <w:r w:rsidR="00513CC0" w:rsidRPr="00513CC0">
        <w:rPr>
          <w:bCs/>
          <w:lang w:val="et-EE"/>
        </w:rPr>
        <w:t>EhS</w:t>
      </w:r>
      <w:proofErr w:type="spellEnd"/>
      <w:r w:rsidR="00513CC0" w:rsidRPr="00513CC0">
        <w:rPr>
          <w:bCs/>
          <w:lang w:val="et-EE"/>
        </w:rPr>
        <w:t xml:space="preserve"> § 12 lg 1, 3 kohaselt tuleb ehitada ehitusprojekti kohaselt, järgides ehitise ja ehitamise kohta kehtivaid nõudeid ning ehitamisel tuleb arvestada ehitamisest mõjutatud isikute õigusi ning rakendada abinõusid nende õiguste ülemäärase kahjustamise vastu“.</w:t>
      </w:r>
      <w:r w:rsidR="00513CC0">
        <w:rPr>
          <w:bCs/>
          <w:lang w:val="et-EE"/>
        </w:rPr>
        <w:t>“</w:t>
      </w:r>
    </w:p>
    <w:p w:rsidR="00294E36" w:rsidRDefault="007311E8" w:rsidP="00EA02CF">
      <w:pPr>
        <w:jc w:val="both"/>
        <w:rPr>
          <w:bCs/>
          <w:lang w:val="et-EE"/>
        </w:rPr>
      </w:pPr>
      <w:r>
        <w:rPr>
          <w:bCs/>
          <w:lang w:val="et-EE"/>
        </w:rPr>
        <w:t>1.</w:t>
      </w:r>
      <w:r w:rsidR="00513CC0">
        <w:rPr>
          <w:bCs/>
          <w:lang w:val="et-EE"/>
        </w:rPr>
        <w:t>4.</w:t>
      </w:r>
      <w:r>
        <w:rPr>
          <w:bCs/>
          <w:lang w:val="et-EE"/>
        </w:rPr>
        <w:t xml:space="preserve"> </w:t>
      </w:r>
      <w:proofErr w:type="spellStart"/>
      <w:r w:rsidR="006D182D">
        <w:rPr>
          <w:bCs/>
          <w:lang w:val="et-EE"/>
        </w:rPr>
        <w:t>g</w:t>
      </w:r>
      <w:r w:rsidR="00294E36">
        <w:rPr>
          <w:bCs/>
          <w:lang w:val="et-EE"/>
        </w:rPr>
        <w:t>eodeesija</w:t>
      </w:r>
      <w:proofErr w:type="spellEnd"/>
      <w:r w:rsidR="00294E36">
        <w:rPr>
          <w:bCs/>
          <w:lang w:val="et-EE"/>
        </w:rPr>
        <w:t xml:space="preserve"> ja maakorralduse osakond </w:t>
      </w:r>
      <w:r w:rsidR="00294E36" w:rsidRPr="00294E36">
        <w:rPr>
          <w:bCs/>
          <w:lang w:val="et-EE"/>
        </w:rPr>
        <w:t>koo</w:t>
      </w:r>
      <w:r w:rsidR="00513CC0">
        <w:rPr>
          <w:bCs/>
          <w:lang w:val="et-EE"/>
        </w:rPr>
        <w:t xml:space="preserve">skõlastas „tingimisi“ märkusega, et ehitusprojekti seletuskirjas kirjutada õige </w:t>
      </w:r>
      <w:proofErr w:type="spellStart"/>
      <w:r w:rsidR="00513CC0">
        <w:rPr>
          <w:bCs/>
          <w:lang w:val="et-EE"/>
        </w:rPr>
        <w:t>topo</w:t>
      </w:r>
      <w:proofErr w:type="spellEnd"/>
      <w:r w:rsidR="00513CC0">
        <w:rPr>
          <w:bCs/>
          <w:lang w:val="et-EE"/>
        </w:rPr>
        <w:t>-geodeetilise uuringu number ja valmimise kuupäev;</w:t>
      </w:r>
    </w:p>
    <w:p w:rsidR="007311E8" w:rsidRDefault="007311E8" w:rsidP="00EA02CF">
      <w:pPr>
        <w:jc w:val="both"/>
        <w:rPr>
          <w:bCs/>
          <w:lang w:val="et-EE"/>
        </w:rPr>
      </w:pPr>
    </w:p>
    <w:p w:rsidR="00294E36" w:rsidRDefault="007311E8" w:rsidP="00EA02CF">
      <w:pPr>
        <w:jc w:val="both"/>
        <w:rPr>
          <w:bCs/>
          <w:lang w:val="et-EE"/>
        </w:rPr>
      </w:pPr>
      <w:r>
        <w:rPr>
          <w:bCs/>
          <w:lang w:val="et-EE"/>
        </w:rPr>
        <w:t>3</w:t>
      </w:r>
      <w:r w:rsidR="00513CC0">
        <w:rPr>
          <w:bCs/>
          <w:lang w:val="et-EE"/>
        </w:rPr>
        <w:t>.</w:t>
      </w:r>
      <w:r>
        <w:rPr>
          <w:bCs/>
          <w:lang w:val="et-EE"/>
        </w:rPr>
        <w:t xml:space="preserve"> </w:t>
      </w:r>
      <w:r w:rsidR="00294E36">
        <w:rPr>
          <w:bCs/>
          <w:lang w:val="et-EE"/>
        </w:rPr>
        <w:t xml:space="preserve">OÜ VKG </w:t>
      </w:r>
      <w:proofErr w:type="spellStart"/>
      <w:r w:rsidR="00294E36">
        <w:rPr>
          <w:bCs/>
          <w:lang w:val="et-EE"/>
        </w:rPr>
        <w:t>Elektrivõrgid</w:t>
      </w:r>
      <w:proofErr w:type="spellEnd"/>
      <w:r w:rsidR="00294E36">
        <w:rPr>
          <w:bCs/>
          <w:lang w:val="et-EE"/>
        </w:rPr>
        <w:t xml:space="preserve"> </w:t>
      </w:r>
      <w:r w:rsidR="00294E36" w:rsidRPr="00294E36">
        <w:rPr>
          <w:bCs/>
          <w:lang w:val="et-EE"/>
        </w:rPr>
        <w:t>kooskõlastas „tingimisi“ märkusega:</w:t>
      </w:r>
      <w:r w:rsidR="003C0189">
        <w:rPr>
          <w:bCs/>
          <w:lang w:val="et-EE"/>
        </w:rPr>
        <w:t xml:space="preserve"> „</w:t>
      </w:r>
      <w:r w:rsidR="003C0189" w:rsidRPr="003C0189">
        <w:rPr>
          <w:bCs/>
          <w:lang w:val="et-EE"/>
        </w:rPr>
        <w:t xml:space="preserve">1. Enne lammutustööde alustamist peab lõpetama kehtiva võrgulepingu, et oleks võimalik likvideerida lammutustööde tsooni jääv olemasolev liitumiskilp (liitumispunkt) ning välja lülitada maakaabelliinid. Vastavalt vajadusele teostada 0,4 </w:t>
      </w:r>
      <w:proofErr w:type="spellStart"/>
      <w:r w:rsidR="003C0189" w:rsidRPr="003C0189">
        <w:rPr>
          <w:bCs/>
          <w:lang w:val="et-EE"/>
        </w:rPr>
        <w:t>kV</w:t>
      </w:r>
      <w:proofErr w:type="spellEnd"/>
      <w:r w:rsidR="003C0189" w:rsidRPr="003C0189">
        <w:rPr>
          <w:bCs/>
          <w:lang w:val="et-EE"/>
        </w:rPr>
        <w:t xml:space="preserve"> magistraal maakaabelliinide </w:t>
      </w:r>
      <w:proofErr w:type="spellStart"/>
      <w:r w:rsidR="003C0189" w:rsidRPr="003C0189">
        <w:rPr>
          <w:bCs/>
          <w:lang w:val="et-EE"/>
        </w:rPr>
        <w:t>muhvimine</w:t>
      </w:r>
      <w:proofErr w:type="spellEnd"/>
      <w:r w:rsidR="003C0189" w:rsidRPr="003C0189">
        <w:rPr>
          <w:bCs/>
          <w:lang w:val="et-EE"/>
        </w:rPr>
        <w:t xml:space="preserve"> jätku- või siirdemuhvide abil, et tagada teiste olemasolevate VKG Elektrivõrgud OÜ tarbijate toide, juhul kui see peaks vajalik olema. Vajadus sõltub lammutustööde teostamise ajast ning täpsustatakse enne tööde algust. Kõik tööde teostamisega seotud kulud tasub tööde teostaja. 2. Enne VKG Elektrivõrgud elektripaigaldise liinikaitsevööndis tööde alustamist peab töid teostav isik vähemalt 10 tööpäeva enne planeeritava tegevuse alustamist esitama elektripaigaldise omanikule kirjaliku taotluse töötamaks elektripaigaldise kaitsevööndis. Kaasa arvatud liiklusmärkide paigaldamine. Kontaktisik: Aleksandr </w:t>
      </w:r>
      <w:proofErr w:type="spellStart"/>
      <w:r w:rsidR="003C0189" w:rsidRPr="003C0189">
        <w:rPr>
          <w:bCs/>
          <w:lang w:val="et-EE"/>
        </w:rPr>
        <w:t>Balujev</w:t>
      </w:r>
      <w:proofErr w:type="spellEnd"/>
      <w:r w:rsidR="003C0189" w:rsidRPr="003C0189">
        <w:rPr>
          <w:bCs/>
          <w:lang w:val="et-EE"/>
        </w:rPr>
        <w:t>, 56266629, aleksandr.balujev@vkg.ee. 3. Ajutise lammutus- ja/või ehitustööde aegse elektrivarustuse vajadusel esitada vastavasisuline l</w:t>
      </w:r>
      <w:r w:rsidR="003C0189">
        <w:rPr>
          <w:bCs/>
          <w:lang w:val="et-EE"/>
        </w:rPr>
        <w:t>iitumistaotlus.“</w:t>
      </w:r>
    </w:p>
    <w:p w:rsidR="00294E36" w:rsidRDefault="007311E8" w:rsidP="00EA02CF">
      <w:pPr>
        <w:jc w:val="both"/>
        <w:rPr>
          <w:bCs/>
          <w:lang w:val="et-EE"/>
        </w:rPr>
      </w:pPr>
      <w:r>
        <w:rPr>
          <w:bCs/>
          <w:lang w:val="et-EE"/>
        </w:rPr>
        <w:t>4</w:t>
      </w:r>
      <w:r w:rsidR="00513CC0">
        <w:rPr>
          <w:bCs/>
          <w:lang w:val="et-EE"/>
        </w:rPr>
        <w:t>.</w:t>
      </w:r>
      <w:r>
        <w:rPr>
          <w:bCs/>
          <w:lang w:val="et-EE"/>
        </w:rPr>
        <w:t xml:space="preserve"> </w:t>
      </w:r>
      <w:r w:rsidR="00294E36">
        <w:rPr>
          <w:bCs/>
          <w:lang w:val="et-EE"/>
        </w:rPr>
        <w:t>AS Telia Eesti</w:t>
      </w:r>
      <w:r w:rsidR="00294E36" w:rsidRPr="00513CC0">
        <w:rPr>
          <w:lang w:val="et-EE"/>
        </w:rPr>
        <w:t xml:space="preserve"> </w:t>
      </w:r>
      <w:r w:rsidR="00294E36" w:rsidRPr="00294E36">
        <w:rPr>
          <w:bCs/>
          <w:lang w:val="et-EE"/>
        </w:rPr>
        <w:t>kooskõlastas „tingimisi“ märkusega:</w:t>
      </w:r>
      <w:r w:rsidR="00513CC0">
        <w:rPr>
          <w:bCs/>
          <w:lang w:val="et-EE"/>
        </w:rPr>
        <w:t xml:space="preserve"> „</w:t>
      </w:r>
      <w:r w:rsidR="00513CC0" w:rsidRPr="00513CC0">
        <w:rPr>
          <w:bCs/>
          <w:lang w:val="et-EE"/>
        </w:rPr>
        <w:t>Antud kooskõlastus ei ole tegutsemisluba Telia sideehitise kaitsevööndis tööde teostamiseks. Sideehitise kaitsevööndis on sideehitise omaniku loata keelatud igasugune tegevus, mis võib ohustada sideehitist. Sideehitise kaitsevööndis võib töid teostada ainult Telia volitatud esindaja poolt väljastatud tegutsemisloa alusel. Tegutsemine Telia sideehitiste kaitsevööndis on lubatud peale sideehitise kättenäitamist järelevalve töötaja poolt ning selle fikseerimist kahepoolselt allkirjastatud aktis. Tegutsemisluba taotleda hiljemalt 5 tööpäeva enne planeeritud tegevuste algust ja soovitud väljakutse aega Telia Ehitajate portaalis: https://www.telia.ee/ehitajate-portaal Teostatavate tööde käigus tagada kujad, sideehitiste terviklikkus ja kaitsemeetmete rakendamine. Sideehitiste kaitsemeetmete muudatused kooskõlastada enne tööde algust Telia Eesti AS sideehitiste järelevalve töötajaga. Kõik Telia sideehitiste kaitsmise/säilitamisega seotud kulud kannab tööde teostamisest huvitatud isik NB!</w:t>
      </w:r>
      <w:r w:rsidR="00513CC0">
        <w:rPr>
          <w:bCs/>
          <w:lang w:val="et-EE"/>
        </w:rPr>
        <w:t xml:space="preserve"> </w:t>
      </w:r>
      <w:r w:rsidR="00513CC0" w:rsidRPr="00513CC0">
        <w:rPr>
          <w:bCs/>
          <w:lang w:val="et-EE"/>
        </w:rPr>
        <w:t>Telia portaalis Kooskõlastamine number olemas!</w:t>
      </w:r>
      <w:r w:rsidR="00513CC0">
        <w:rPr>
          <w:bCs/>
          <w:lang w:val="et-EE"/>
        </w:rPr>
        <w:t>“</w:t>
      </w:r>
    </w:p>
    <w:p w:rsidR="00EA02CF" w:rsidRDefault="00EA02CF" w:rsidP="00EA02CF">
      <w:pPr>
        <w:jc w:val="both"/>
        <w:rPr>
          <w:bCs/>
          <w:lang w:val="et-EE"/>
        </w:rPr>
      </w:pPr>
    </w:p>
    <w:p w:rsidR="00EA02CF" w:rsidRDefault="00EA02CF" w:rsidP="00EA02CF">
      <w:pPr>
        <w:jc w:val="both"/>
        <w:rPr>
          <w:bCs/>
          <w:lang w:val="et-EE"/>
        </w:rPr>
      </w:pPr>
      <w:r w:rsidRPr="00B84C93">
        <w:rPr>
          <w:bCs/>
          <w:lang w:val="et-EE"/>
        </w:rPr>
        <w:t>Esitatud dokumentides ehitusseadustiku § 44 toodud ehitusloa andmisest keeldumise põhjused puuduvad. Seega, tee ehitusloa andmiseks takistusi ei ole.</w:t>
      </w:r>
    </w:p>
    <w:p w:rsidR="00EA02CF" w:rsidRDefault="00EA02CF" w:rsidP="00EA02CF">
      <w:pPr>
        <w:jc w:val="both"/>
        <w:rPr>
          <w:bCs/>
          <w:lang w:val="et-EE"/>
        </w:rPr>
      </w:pPr>
    </w:p>
    <w:p w:rsidR="00EA02CF" w:rsidRPr="00B84C93" w:rsidRDefault="00EA02CF" w:rsidP="00EA02CF">
      <w:pPr>
        <w:numPr>
          <w:ilvl w:val="0"/>
          <w:numId w:val="2"/>
        </w:numPr>
        <w:jc w:val="both"/>
        <w:rPr>
          <w:b/>
          <w:lang w:val="et-EE"/>
        </w:rPr>
      </w:pPr>
      <w:r w:rsidRPr="00B84C93">
        <w:rPr>
          <w:b/>
          <w:lang w:val="et-EE"/>
        </w:rPr>
        <w:t>ÕIGUSLIKUD ALUSED</w:t>
      </w:r>
    </w:p>
    <w:p w:rsidR="003C0189" w:rsidRPr="003C0189" w:rsidRDefault="003C0189" w:rsidP="003C0189">
      <w:pPr>
        <w:numPr>
          <w:ilvl w:val="1"/>
          <w:numId w:val="2"/>
        </w:numPr>
        <w:jc w:val="both"/>
        <w:rPr>
          <w:lang w:val="et-EE"/>
        </w:rPr>
      </w:pPr>
      <w:r w:rsidRPr="003C0189">
        <w:rPr>
          <w:lang w:val="et-EE"/>
        </w:rPr>
        <w:t>Ehitusseadustiku § 39 lõike 1 kohaselt ehitusloa annab kohaliku omavalitsuse üksus.</w:t>
      </w:r>
    </w:p>
    <w:p w:rsidR="003C0189" w:rsidRPr="003C0189" w:rsidRDefault="003C0189" w:rsidP="003C0189">
      <w:pPr>
        <w:numPr>
          <w:ilvl w:val="1"/>
          <w:numId w:val="2"/>
        </w:numPr>
        <w:jc w:val="both"/>
        <w:rPr>
          <w:lang w:val="et-EE"/>
        </w:rPr>
      </w:pPr>
      <w:r w:rsidRPr="003C0189">
        <w:rPr>
          <w:lang w:val="et-EE"/>
        </w:rPr>
        <w:t xml:space="preserve"> Ehitusseadustiku § 54 lõike 2 kohaselt pädev asutus otsustab keskkonnamõju hindamise algatamise vajaduse eelkõige juhul, kui ehitise kasutamise otstarbe muutmisega võib kaasneda oluline keskkonnamõju ja seda ei ole varem hinnatud.</w:t>
      </w:r>
    </w:p>
    <w:p w:rsidR="003C0189" w:rsidRDefault="003C0189" w:rsidP="003C0189">
      <w:pPr>
        <w:numPr>
          <w:ilvl w:val="1"/>
          <w:numId w:val="2"/>
        </w:numPr>
        <w:jc w:val="both"/>
        <w:rPr>
          <w:lang w:val="et-EE"/>
        </w:rPr>
      </w:pPr>
      <w:r w:rsidRPr="003C0189">
        <w:rPr>
          <w:lang w:val="et-EE"/>
        </w:rPr>
        <w:t xml:space="preserve">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EA02CF" w:rsidRDefault="00EA02CF" w:rsidP="003C0189">
      <w:pPr>
        <w:numPr>
          <w:ilvl w:val="1"/>
          <w:numId w:val="2"/>
        </w:numPr>
        <w:jc w:val="both"/>
        <w:rPr>
          <w:lang w:val="et-EE"/>
        </w:rPr>
      </w:pPr>
      <w:r w:rsidRPr="00E75ED5">
        <w:rPr>
          <w:lang w:val="et-EE"/>
        </w:rPr>
        <w:t xml:space="preserve">Ehitusseadustiku § 42 lõike 3 punkti 5 ehitusloa </w:t>
      </w:r>
      <w:proofErr w:type="spellStart"/>
      <w:r w:rsidRPr="00E75ED5">
        <w:rPr>
          <w:lang w:val="et-EE"/>
        </w:rPr>
        <w:t>kõrvaltingimusena</w:t>
      </w:r>
      <w:proofErr w:type="spellEnd"/>
      <w:r w:rsidRPr="00E75ED5">
        <w:rPr>
          <w:lang w:val="et-EE"/>
        </w:rPr>
        <w:t xml:space="preserve"> võib eelkõigi sätestada ehitise või ehitamise keerukusest tulenevad lisatingimused ehitamiseks.</w:t>
      </w:r>
    </w:p>
    <w:p w:rsidR="007311E8" w:rsidRDefault="007311E8" w:rsidP="007311E8">
      <w:pPr>
        <w:jc w:val="both"/>
        <w:rPr>
          <w:lang w:val="et-EE"/>
        </w:rPr>
      </w:pPr>
    </w:p>
    <w:p w:rsidR="007311E8" w:rsidRPr="006345A2" w:rsidRDefault="007311E8" w:rsidP="007311E8">
      <w:pPr>
        <w:jc w:val="both"/>
        <w:rPr>
          <w:lang w:val="et-EE"/>
        </w:rPr>
      </w:pPr>
    </w:p>
    <w:p w:rsidR="00EA02CF" w:rsidRDefault="00EA02CF" w:rsidP="00EA02CF">
      <w:pPr>
        <w:ind w:left="360"/>
        <w:jc w:val="both"/>
        <w:rPr>
          <w:b/>
          <w:lang w:val="et-EE"/>
        </w:rPr>
      </w:pPr>
    </w:p>
    <w:p w:rsidR="00EA02CF" w:rsidRPr="00B84C93" w:rsidRDefault="00EA02CF" w:rsidP="00EA02CF">
      <w:pPr>
        <w:numPr>
          <w:ilvl w:val="0"/>
          <w:numId w:val="2"/>
        </w:numPr>
        <w:jc w:val="both"/>
        <w:rPr>
          <w:b/>
          <w:lang w:val="et-EE"/>
        </w:rPr>
      </w:pPr>
      <w:r w:rsidRPr="00B84C93">
        <w:rPr>
          <w:b/>
          <w:lang w:val="et-EE"/>
        </w:rPr>
        <w:lastRenderedPageBreak/>
        <w:t>OTSUS</w:t>
      </w:r>
    </w:p>
    <w:p w:rsidR="003C0189" w:rsidRDefault="003C0189" w:rsidP="003C0189">
      <w:pPr>
        <w:numPr>
          <w:ilvl w:val="1"/>
          <w:numId w:val="2"/>
        </w:numPr>
        <w:jc w:val="both"/>
        <w:rPr>
          <w:lang w:val="et-EE"/>
        </w:rPr>
      </w:pPr>
      <w:r w:rsidRPr="003C0189">
        <w:rPr>
          <w:lang w:val="et-EE"/>
        </w:rPr>
        <w:t xml:space="preserve"> A</w:t>
      </w:r>
      <w:r>
        <w:rPr>
          <w:lang w:val="et-EE"/>
        </w:rPr>
        <w:t xml:space="preserve">nda  ehitusluba </w:t>
      </w:r>
      <w:r w:rsidRPr="003C0189">
        <w:rPr>
          <w:lang w:val="et-EE"/>
        </w:rPr>
        <w:t xml:space="preserve"> Aleksander Puškini tn 29 kinnistul asuva Kesklinna põhikoolihoone, ehitisregistri kood 118010542, laiendamiseks ning hoone</w:t>
      </w:r>
      <w:r w:rsidR="006D182D">
        <w:rPr>
          <w:lang w:val="et-EE"/>
        </w:rPr>
        <w:t>t</w:t>
      </w:r>
      <w:r w:rsidRPr="003C0189">
        <w:rPr>
          <w:lang w:val="et-EE"/>
        </w:rPr>
        <w:t xml:space="preserve"> teenindavate rajatiste ehitamiseks</w:t>
      </w:r>
      <w:r>
        <w:rPr>
          <w:lang w:val="et-EE"/>
        </w:rPr>
        <w:t xml:space="preserve"> ehitusprojekti</w:t>
      </w:r>
      <w:r w:rsidR="00475808">
        <w:rPr>
          <w:lang w:val="et-EE"/>
        </w:rPr>
        <w:t xml:space="preserve"> </w:t>
      </w:r>
      <w:r w:rsidRPr="003C0189">
        <w:rPr>
          <w:lang w:val="et-EE"/>
        </w:rPr>
        <w:t xml:space="preserve">„Narva Kesklinna Põhikool NARKP_EP_11-02-2021“, </w:t>
      </w:r>
      <w:proofErr w:type="spellStart"/>
      <w:r w:rsidRPr="003C0189">
        <w:rPr>
          <w:lang w:val="et-EE"/>
        </w:rPr>
        <w:t>projekteerija</w:t>
      </w:r>
      <w:proofErr w:type="spellEnd"/>
      <w:r w:rsidRPr="003C0189">
        <w:rPr>
          <w:lang w:val="et-EE"/>
        </w:rPr>
        <w:t xml:space="preserve"> OÜ Salto Arhitektuuribüroo</w:t>
      </w:r>
      <w:r>
        <w:rPr>
          <w:lang w:val="et-EE"/>
        </w:rPr>
        <w:t>, kohaselt</w:t>
      </w:r>
    </w:p>
    <w:p w:rsidR="00EA02CF" w:rsidRPr="006D182D" w:rsidRDefault="00EA02CF" w:rsidP="00475808">
      <w:pPr>
        <w:numPr>
          <w:ilvl w:val="1"/>
          <w:numId w:val="2"/>
        </w:numPr>
        <w:jc w:val="both"/>
        <w:rPr>
          <w:color w:val="FF0000"/>
          <w:lang w:val="et-EE"/>
        </w:rPr>
      </w:pPr>
      <w:r w:rsidRPr="00475808">
        <w:rPr>
          <w:lang w:val="et-EE"/>
        </w:rPr>
        <w:t xml:space="preserve">Jätta algatamata </w:t>
      </w:r>
      <w:r w:rsidR="003C0189" w:rsidRPr="00475808">
        <w:rPr>
          <w:lang w:val="et-EE"/>
        </w:rPr>
        <w:t xml:space="preserve">Aleksander Puškini tn 29 kinnistul asuva Kesklinna põhikoolihoone </w:t>
      </w:r>
      <w:r w:rsidR="003C0189">
        <w:rPr>
          <w:lang w:val="et-EE"/>
        </w:rPr>
        <w:t xml:space="preserve">laiendamisega </w:t>
      </w:r>
      <w:r w:rsidR="007311E8">
        <w:rPr>
          <w:lang w:val="et-EE"/>
        </w:rPr>
        <w:t xml:space="preserve">kavandatud tegevuse </w:t>
      </w:r>
      <w:r w:rsidR="006D182D">
        <w:rPr>
          <w:lang w:val="et-EE"/>
        </w:rPr>
        <w:t>keskkonnamõju hindamine</w:t>
      </w:r>
      <w:r w:rsidR="00475808">
        <w:rPr>
          <w:lang w:val="et-EE"/>
        </w:rPr>
        <w:t xml:space="preserve">, </w:t>
      </w:r>
      <w:r w:rsidR="00475808" w:rsidRPr="00475808">
        <w:rPr>
          <w:lang w:val="et-EE"/>
        </w:rPr>
        <w:t>kuna kavandatava tegevusega ei kaasne oluline mõju keskkonnale.</w:t>
      </w:r>
    </w:p>
    <w:p w:rsidR="00EA02CF" w:rsidRPr="00B84C93" w:rsidRDefault="00EA02CF" w:rsidP="00EA02CF">
      <w:pPr>
        <w:numPr>
          <w:ilvl w:val="1"/>
          <w:numId w:val="2"/>
        </w:numPr>
        <w:ind w:left="567" w:hanging="567"/>
        <w:jc w:val="both"/>
        <w:rPr>
          <w:lang w:val="et-EE"/>
        </w:rPr>
      </w:pPr>
      <w:r w:rsidRPr="006D661D">
        <w:rPr>
          <w:lang w:val="et-EE"/>
        </w:rPr>
        <w:t xml:space="preserve">Kohustada ehitustööde </w:t>
      </w:r>
      <w:r w:rsidR="006D182D">
        <w:rPr>
          <w:lang w:val="et-EE"/>
        </w:rPr>
        <w:t xml:space="preserve">tellijat täitma </w:t>
      </w:r>
      <w:proofErr w:type="spellStart"/>
      <w:r w:rsidR="006D182D">
        <w:rPr>
          <w:lang w:val="et-EE"/>
        </w:rPr>
        <w:t>kõrvaltingimusi</w:t>
      </w:r>
      <w:proofErr w:type="spellEnd"/>
      <w:r w:rsidRPr="006D661D">
        <w:rPr>
          <w:lang w:val="et-EE"/>
        </w:rPr>
        <w:t xml:space="preserve">, milleks on käesoleva korralduse punktis 1 </w:t>
      </w:r>
      <w:r w:rsidR="007311E8">
        <w:rPr>
          <w:lang w:val="et-EE"/>
        </w:rPr>
        <w:t xml:space="preserve">ehitusloa eelnõu </w:t>
      </w:r>
      <w:proofErr w:type="spellStart"/>
      <w:r w:rsidR="007311E8">
        <w:rPr>
          <w:lang w:val="et-EE"/>
        </w:rPr>
        <w:t>kooskõlastajate</w:t>
      </w:r>
      <w:proofErr w:type="spellEnd"/>
      <w:r w:rsidR="007311E8">
        <w:rPr>
          <w:lang w:val="et-EE"/>
        </w:rPr>
        <w:t xml:space="preserve"> poolt tehtud</w:t>
      </w:r>
      <w:r w:rsidRPr="006D661D">
        <w:rPr>
          <w:lang w:val="et-EE"/>
        </w:rPr>
        <w:t xml:space="preserve">  märkused.</w:t>
      </w:r>
      <w:r w:rsidRPr="00B84C93">
        <w:rPr>
          <w:lang w:val="et-EE"/>
        </w:rPr>
        <w:t xml:space="preserve"> </w:t>
      </w:r>
    </w:p>
    <w:p w:rsidR="00EA02CF" w:rsidRDefault="00EA02CF" w:rsidP="00EA02CF">
      <w:pPr>
        <w:jc w:val="both"/>
        <w:rPr>
          <w:b/>
          <w:lang w:val="et-EE"/>
        </w:rPr>
      </w:pPr>
    </w:p>
    <w:p w:rsidR="00EA02CF" w:rsidRPr="00E12352" w:rsidRDefault="00EA02CF" w:rsidP="00EA02CF">
      <w:pPr>
        <w:pStyle w:val="ListParagraph"/>
        <w:numPr>
          <w:ilvl w:val="0"/>
          <w:numId w:val="2"/>
        </w:numPr>
        <w:jc w:val="both"/>
        <w:rPr>
          <w:b/>
          <w:lang w:val="et-EE"/>
        </w:rPr>
      </w:pPr>
      <w:r w:rsidRPr="00E12352">
        <w:rPr>
          <w:b/>
          <w:lang w:val="et-EE"/>
        </w:rPr>
        <w:t xml:space="preserve">RAKENDUSSÄTTED  </w:t>
      </w:r>
    </w:p>
    <w:p w:rsidR="00EA02CF" w:rsidRPr="00B84C93" w:rsidRDefault="00EA02CF" w:rsidP="00EA02CF">
      <w:pPr>
        <w:jc w:val="both"/>
        <w:rPr>
          <w:lang w:val="et-EE"/>
        </w:rPr>
      </w:pPr>
      <w:r>
        <w:rPr>
          <w:lang w:val="et-EE"/>
        </w:rPr>
        <w:t>4.1.</w:t>
      </w:r>
      <w:r w:rsidRPr="00B84C93">
        <w:rPr>
          <w:lang w:val="et-EE"/>
        </w:rPr>
        <w:t>Korraldus jõustub seadusega ettenähtud korras.</w:t>
      </w:r>
    </w:p>
    <w:p w:rsidR="00EA02CF" w:rsidRDefault="00EA02CF" w:rsidP="00EA02CF">
      <w:pPr>
        <w:jc w:val="both"/>
        <w:rPr>
          <w:lang w:val="et-EE"/>
        </w:rPr>
      </w:pPr>
      <w:r>
        <w:rPr>
          <w:lang w:val="et-EE"/>
        </w:rPr>
        <w:t>4.2.</w:t>
      </w:r>
      <w:r w:rsidRPr="00F22761">
        <w:rPr>
          <w:lang w:val="et-EE"/>
        </w:rPr>
        <w:t xml:space="preserve">Käesoleva korralduse peale võib esitada Narva Linnavalitsusele vaide haldusmenetluse </w:t>
      </w:r>
    </w:p>
    <w:p w:rsidR="00EA02CF" w:rsidRDefault="00EA02CF" w:rsidP="00EA02CF">
      <w:pPr>
        <w:jc w:val="both"/>
        <w:rPr>
          <w:lang w:val="et-EE"/>
        </w:rPr>
      </w:pPr>
      <w:r>
        <w:rPr>
          <w:lang w:val="et-EE"/>
        </w:rPr>
        <w:t xml:space="preserve">      </w:t>
      </w:r>
      <w:r w:rsidRPr="00F22761">
        <w:rPr>
          <w:lang w:val="et-EE"/>
        </w:rPr>
        <w:t xml:space="preserve">seaduses sätestatud korras 30 päeva jooksul arvates korraldusest teadasaamise päevast või </w:t>
      </w:r>
    </w:p>
    <w:p w:rsidR="00EA02CF" w:rsidRDefault="00EA02CF" w:rsidP="00EA02CF">
      <w:pPr>
        <w:jc w:val="both"/>
        <w:rPr>
          <w:lang w:val="et-EE"/>
        </w:rPr>
      </w:pPr>
      <w:r>
        <w:rPr>
          <w:lang w:val="et-EE"/>
        </w:rPr>
        <w:t xml:space="preserve">      </w:t>
      </w:r>
      <w:r w:rsidRPr="00F22761">
        <w:rPr>
          <w:lang w:val="et-EE"/>
        </w:rPr>
        <w:t xml:space="preserve">esitada kaebuse Tartu Halduskohtu Jõhvi kohtumajale halduskohtumenetluse seadustikus </w:t>
      </w:r>
    </w:p>
    <w:p w:rsidR="00EA02CF" w:rsidRPr="00B84C93" w:rsidRDefault="00EA02CF" w:rsidP="00EA02CF">
      <w:pPr>
        <w:jc w:val="both"/>
        <w:rPr>
          <w:lang w:val="et-EE"/>
        </w:rPr>
      </w:pPr>
      <w:r>
        <w:rPr>
          <w:lang w:val="et-EE"/>
        </w:rPr>
        <w:t xml:space="preserve">      </w:t>
      </w:r>
      <w:r w:rsidRPr="00F22761">
        <w:rPr>
          <w:lang w:val="et-EE"/>
        </w:rPr>
        <w:t>sätestatud korras 30 päeva jooksul arvates korralduse teatavakstegemisest.</w:t>
      </w:r>
      <w:r w:rsidRPr="00B84C93">
        <w:rPr>
          <w:lang w:val="et-EE"/>
        </w:rPr>
        <w:t xml:space="preserve"> </w:t>
      </w:r>
    </w:p>
    <w:p w:rsidR="00EA02CF" w:rsidRDefault="00EA02CF" w:rsidP="00EA02CF">
      <w:pPr>
        <w:rPr>
          <w:lang w:val="et-EE"/>
        </w:rPr>
      </w:pPr>
    </w:p>
    <w:p w:rsidR="00EA02CF" w:rsidRDefault="00EA02CF" w:rsidP="00EA02CF">
      <w:pPr>
        <w:rPr>
          <w:lang w:val="et-EE"/>
        </w:rPr>
      </w:pPr>
    </w:p>
    <w:p w:rsidR="00EA02CF" w:rsidRDefault="00EA02CF" w:rsidP="00EA02CF">
      <w:pPr>
        <w:rPr>
          <w:lang w:val="et-EE"/>
        </w:rPr>
      </w:pPr>
    </w:p>
    <w:p w:rsidR="007311E8" w:rsidRDefault="007311E8" w:rsidP="00EA02CF">
      <w:pPr>
        <w:rPr>
          <w:lang w:val="et-EE"/>
        </w:rPr>
      </w:pPr>
    </w:p>
    <w:p w:rsidR="007311E8" w:rsidRDefault="007311E8" w:rsidP="00EA02CF">
      <w:pPr>
        <w:rPr>
          <w:lang w:val="et-EE"/>
        </w:rPr>
      </w:pPr>
    </w:p>
    <w:p w:rsidR="007311E8" w:rsidRDefault="007311E8" w:rsidP="00EA02CF">
      <w:pPr>
        <w:rPr>
          <w:lang w:val="et-EE"/>
        </w:rPr>
      </w:pPr>
    </w:p>
    <w:p w:rsidR="007311E8" w:rsidRDefault="007311E8" w:rsidP="00EA02CF">
      <w:pPr>
        <w:rPr>
          <w:lang w:val="et-EE"/>
        </w:rPr>
      </w:pPr>
    </w:p>
    <w:p w:rsidR="007311E8" w:rsidRDefault="007311E8" w:rsidP="00EA02CF">
      <w:pPr>
        <w:rPr>
          <w:lang w:val="et-EE"/>
        </w:rPr>
      </w:pPr>
    </w:p>
    <w:p w:rsidR="007311E8" w:rsidRDefault="007311E8" w:rsidP="00EA02CF">
      <w:pPr>
        <w:rPr>
          <w:lang w:val="et-EE"/>
        </w:rPr>
      </w:pPr>
    </w:p>
    <w:p w:rsidR="007311E8" w:rsidRDefault="007311E8" w:rsidP="00EA02CF">
      <w:pPr>
        <w:rPr>
          <w:lang w:val="et-EE"/>
        </w:rPr>
      </w:pPr>
    </w:p>
    <w:p w:rsidR="007311E8" w:rsidRDefault="007311E8" w:rsidP="00EA02CF">
      <w:pPr>
        <w:rPr>
          <w:lang w:val="et-EE"/>
        </w:rPr>
      </w:pPr>
    </w:p>
    <w:p w:rsidR="007311E8" w:rsidRDefault="007311E8" w:rsidP="00EA02CF">
      <w:pPr>
        <w:rPr>
          <w:lang w:val="et-EE"/>
        </w:rPr>
      </w:pPr>
    </w:p>
    <w:p w:rsidR="007311E8" w:rsidRDefault="007311E8" w:rsidP="00EA02CF">
      <w:pPr>
        <w:rPr>
          <w:lang w:val="et-EE"/>
        </w:rPr>
      </w:pPr>
    </w:p>
    <w:p w:rsidR="007311E8" w:rsidRDefault="007311E8" w:rsidP="00EA02CF">
      <w:pPr>
        <w:rPr>
          <w:lang w:val="et-EE"/>
        </w:rPr>
      </w:pPr>
    </w:p>
    <w:p w:rsidR="007311E8" w:rsidRDefault="007311E8" w:rsidP="00EA02CF">
      <w:pPr>
        <w:rPr>
          <w:lang w:val="et-EE"/>
        </w:rPr>
      </w:pPr>
    </w:p>
    <w:p w:rsidR="00EA02CF" w:rsidRPr="00B84C93" w:rsidRDefault="00EA02CF" w:rsidP="00EA02CF">
      <w:pPr>
        <w:rPr>
          <w:lang w:val="et-EE"/>
        </w:rPr>
      </w:pPr>
    </w:p>
    <w:p w:rsidR="00EA02CF" w:rsidRDefault="00EA02CF" w:rsidP="00EA02CF">
      <w:pPr>
        <w:rPr>
          <w:lang w:val="et-EE"/>
        </w:rPr>
      </w:pPr>
      <w:r>
        <w:rPr>
          <w:lang w:val="et-EE"/>
        </w:rPr>
        <w:t xml:space="preserve"> </w:t>
      </w:r>
      <w:r w:rsidRPr="006E50B5">
        <w:rPr>
          <w:lang w:val="et-EE"/>
        </w:rPr>
        <w:t xml:space="preserve"> </w:t>
      </w:r>
      <w:r>
        <w:rPr>
          <w:lang w:val="et-EE"/>
        </w:rPr>
        <w:t xml:space="preserve">    Katri </w:t>
      </w:r>
      <w:proofErr w:type="spellStart"/>
      <w:r>
        <w:rPr>
          <w:lang w:val="et-EE"/>
        </w:rPr>
        <w:t>Raik</w:t>
      </w:r>
      <w:proofErr w:type="spellEnd"/>
      <w:r>
        <w:rPr>
          <w:lang w:val="et-EE"/>
        </w:rPr>
        <w:t xml:space="preserve">                                                                        Üllar Kaljuste</w:t>
      </w:r>
    </w:p>
    <w:p w:rsidR="00EA02CF" w:rsidRDefault="00EA02CF" w:rsidP="00EA02CF">
      <w:pPr>
        <w:rPr>
          <w:lang w:val="et-EE"/>
        </w:rPr>
      </w:pPr>
      <w:r>
        <w:rPr>
          <w:lang w:val="et-EE"/>
        </w:rPr>
        <w:t xml:space="preserve">      Linnapea                                                                          Linnasekretär  </w:t>
      </w:r>
    </w:p>
    <w:p w:rsidR="00294E36" w:rsidRDefault="00EA02CF" w:rsidP="00EA02CF">
      <w:pPr>
        <w:rPr>
          <w:lang w:val="et-EE"/>
        </w:rPr>
      </w:pPr>
      <w:r>
        <w:rPr>
          <w:lang w:val="et-EE"/>
        </w:rPr>
        <w:t xml:space="preserve">     </w:t>
      </w:r>
    </w:p>
    <w:p w:rsidR="00294E36" w:rsidRDefault="00294E36" w:rsidP="00EA02CF">
      <w:pPr>
        <w:rPr>
          <w:lang w:val="et-EE"/>
        </w:rPr>
      </w:pPr>
    </w:p>
    <w:p w:rsidR="00294E36" w:rsidRDefault="00294E36" w:rsidP="00EA02CF">
      <w:pPr>
        <w:rPr>
          <w:lang w:val="et-EE"/>
        </w:rPr>
      </w:pPr>
    </w:p>
    <w:p w:rsidR="00EA02CF" w:rsidRPr="00A6567D" w:rsidRDefault="00EA02CF" w:rsidP="00EA02CF">
      <w:pPr>
        <w:rPr>
          <w:lang w:val="et-EE"/>
        </w:rPr>
      </w:pPr>
    </w:p>
    <w:p w:rsidR="001F401F" w:rsidRPr="00EA02CF" w:rsidRDefault="001F401F">
      <w:pPr>
        <w:rPr>
          <w:lang w:val="et-EE"/>
        </w:rPr>
      </w:pPr>
    </w:p>
    <w:sectPr w:rsidR="001F401F" w:rsidRPr="00EA02CF" w:rsidSect="00F31B1F">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1E13"/>
    <w:multiLevelType w:val="multilevel"/>
    <w:tmpl w:val="87FE90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 w15:restartNumberingAfterBreak="0">
    <w:nsid w:val="474B3AA3"/>
    <w:multiLevelType w:val="hybridMultilevel"/>
    <w:tmpl w:val="11DCA814"/>
    <w:lvl w:ilvl="0" w:tplc="1E7CC210">
      <w:start w:val="1"/>
      <w:numFmt w:val="decimal"/>
      <w:lvlText w:val="%1."/>
      <w:lvlJc w:val="left"/>
      <w:pPr>
        <w:tabs>
          <w:tab w:val="num" w:pos="780"/>
        </w:tabs>
        <w:ind w:left="780" w:hanging="360"/>
      </w:pPr>
      <w:rPr>
        <w:rFonts w:hint="default"/>
      </w:rPr>
    </w:lvl>
    <w:lvl w:ilvl="1" w:tplc="7F2EA49A">
      <w:numFmt w:val="none"/>
      <w:lvlText w:val=""/>
      <w:lvlJc w:val="left"/>
      <w:pPr>
        <w:tabs>
          <w:tab w:val="num" w:pos="360"/>
        </w:tabs>
      </w:pPr>
    </w:lvl>
    <w:lvl w:ilvl="2" w:tplc="3D241E92">
      <w:numFmt w:val="none"/>
      <w:lvlText w:val=""/>
      <w:lvlJc w:val="left"/>
      <w:pPr>
        <w:tabs>
          <w:tab w:val="num" w:pos="360"/>
        </w:tabs>
      </w:pPr>
    </w:lvl>
    <w:lvl w:ilvl="3" w:tplc="249CC468">
      <w:numFmt w:val="none"/>
      <w:lvlText w:val=""/>
      <w:lvlJc w:val="left"/>
      <w:pPr>
        <w:tabs>
          <w:tab w:val="num" w:pos="360"/>
        </w:tabs>
      </w:pPr>
    </w:lvl>
    <w:lvl w:ilvl="4" w:tplc="3DDC721A">
      <w:numFmt w:val="none"/>
      <w:lvlText w:val=""/>
      <w:lvlJc w:val="left"/>
      <w:pPr>
        <w:tabs>
          <w:tab w:val="num" w:pos="360"/>
        </w:tabs>
      </w:pPr>
    </w:lvl>
    <w:lvl w:ilvl="5" w:tplc="CD1A0DA2">
      <w:numFmt w:val="none"/>
      <w:lvlText w:val=""/>
      <w:lvlJc w:val="left"/>
      <w:pPr>
        <w:tabs>
          <w:tab w:val="num" w:pos="360"/>
        </w:tabs>
      </w:pPr>
    </w:lvl>
    <w:lvl w:ilvl="6" w:tplc="5C246180">
      <w:numFmt w:val="none"/>
      <w:lvlText w:val=""/>
      <w:lvlJc w:val="left"/>
      <w:pPr>
        <w:tabs>
          <w:tab w:val="num" w:pos="360"/>
        </w:tabs>
      </w:pPr>
    </w:lvl>
    <w:lvl w:ilvl="7" w:tplc="D4AEC894">
      <w:numFmt w:val="none"/>
      <w:lvlText w:val=""/>
      <w:lvlJc w:val="left"/>
      <w:pPr>
        <w:tabs>
          <w:tab w:val="num" w:pos="360"/>
        </w:tabs>
      </w:pPr>
    </w:lvl>
    <w:lvl w:ilvl="8" w:tplc="949CA066">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CF"/>
    <w:rsid w:val="001F401F"/>
    <w:rsid w:val="00294E36"/>
    <w:rsid w:val="003C0189"/>
    <w:rsid w:val="00475808"/>
    <w:rsid w:val="004D6420"/>
    <w:rsid w:val="00513CC0"/>
    <w:rsid w:val="00620CF1"/>
    <w:rsid w:val="006306B2"/>
    <w:rsid w:val="006D182D"/>
    <w:rsid w:val="007311E8"/>
    <w:rsid w:val="00A46522"/>
    <w:rsid w:val="00D1080E"/>
    <w:rsid w:val="00EA02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F5024-A4FC-4CD0-BA06-5D90D21C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2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A02CF"/>
    <w:pPr>
      <w:spacing w:before="100" w:beforeAutospacing="1" w:after="100" w:afterAutospacing="1"/>
    </w:pPr>
    <w:rPr>
      <w:color w:val="000000"/>
    </w:rPr>
  </w:style>
  <w:style w:type="paragraph" w:styleId="Caption">
    <w:name w:val="caption"/>
    <w:basedOn w:val="Normal"/>
    <w:next w:val="Normal"/>
    <w:qFormat/>
    <w:rsid w:val="00EA02CF"/>
    <w:pPr>
      <w:ind w:left="720"/>
    </w:pPr>
    <w:rPr>
      <w:b/>
      <w:bCs/>
      <w:sz w:val="22"/>
      <w:szCs w:val="27"/>
    </w:rPr>
  </w:style>
  <w:style w:type="paragraph" w:styleId="ListParagraph">
    <w:name w:val="List Paragraph"/>
    <w:basedOn w:val="Normal"/>
    <w:uiPriority w:val="34"/>
    <w:qFormat/>
    <w:rsid w:val="00EA02CF"/>
    <w:pPr>
      <w:ind w:left="720"/>
      <w:contextualSpacing/>
    </w:pPr>
  </w:style>
  <w:style w:type="paragraph" w:styleId="BalloonText">
    <w:name w:val="Balloon Text"/>
    <w:basedOn w:val="Normal"/>
    <w:link w:val="BalloonTextChar"/>
    <w:uiPriority w:val="99"/>
    <w:semiHidden/>
    <w:unhideWhenUsed/>
    <w:rsid w:val="00731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1E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1274</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4</cp:revision>
  <cp:lastPrinted>2021-02-17T08:08:00Z</cp:lastPrinted>
  <dcterms:created xsi:type="dcterms:W3CDTF">2021-02-17T06:54:00Z</dcterms:created>
  <dcterms:modified xsi:type="dcterms:W3CDTF">2021-02-18T08:45:00Z</dcterms:modified>
</cp:coreProperties>
</file>